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E94" w:rsidRPr="0024373B" w:rsidRDefault="000A2764" w:rsidP="008461EA">
      <w:pPr>
        <w:spacing w:after="0" w:line="280" w:lineRule="auto"/>
        <w:jc w:val="center"/>
        <w:rPr>
          <w:rFonts w:ascii="Arial" w:hAnsi="Arial"/>
          <w:bCs/>
          <w:sz w:val="24"/>
          <w:szCs w:val="24"/>
          <w:u w:val="single"/>
          <w:lang w:val="en-GB"/>
        </w:rPr>
      </w:pPr>
      <w:r w:rsidRPr="000A2764">
        <w:rPr>
          <w:rFonts w:ascii="Arial" w:hAnsi="Arial"/>
          <w:bCs/>
          <w:sz w:val="24"/>
          <w:szCs w:val="24"/>
          <w:u w:val="single"/>
          <w:lang w:val="fr-FR"/>
        </w:rPr>
        <w:t xml:space="preserve">Document à </w:t>
      </w:r>
      <w:r w:rsidR="00E67DC3" w:rsidRPr="000A2764">
        <w:rPr>
          <w:rFonts w:ascii="Arial" w:hAnsi="Arial"/>
          <w:bCs/>
          <w:sz w:val="24"/>
          <w:szCs w:val="24"/>
          <w:u w:val="single"/>
          <w:lang w:val="fr-FR"/>
        </w:rPr>
        <w:t>l'intention des participants</w:t>
      </w:r>
    </w:p>
    <w:p w:rsidR="00B34E94" w:rsidRPr="0024373B" w:rsidRDefault="00B34E94" w:rsidP="006A6ADD">
      <w:pPr>
        <w:spacing w:after="0"/>
        <w:jc w:val="center"/>
        <w:rPr>
          <w:rFonts w:ascii="Arial" w:hAnsi="Arial"/>
          <w:bCs/>
          <w:sz w:val="28"/>
          <w:szCs w:val="28"/>
          <w:lang w:val="en-GB"/>
        </w:rPr>
      </w:pPr>
    </w:p>
    <w:p w:rsidR="00B34E94" w:rsidRPr="0024373B" w:rsidRDefault="00572110" w:rsidP="008461EA">
      <w:pPr>
        <w:spacing w:after="0" w:line="280" w:lineRule="auto"/>
        <w:jc w:val="center"/>
        <w:rPr>
          <w:rFonts w:ascii="Arial" w:hAnsi="Arial"/>
          <w:b/>
          <w:bCs/>
          <w:sz w:val="24"/>
          <w:szCs w:val="24"/>
          <w:lang w:val="en-GB"/>
        </w:rPr>
      </w:pPr>
      <w:r w:rsidRPr="000A2764">
        <w:rPr>
          <w:rFonts w:ascii="Arial" w:hAnsi="Arial"/>
          <w:b/>
          <w:bCs/>
          <w:sz w:val="24"/>
          <w:szCs w:val="24"/>
          <w:lang w:val="fr-FR"/>
        </w:rPr>
        <w:t xml:space="preserve">Module 3 : </w:t>
      </w:r>
      <w:r w:rsidR="000A2764" w:rsidRPr="000A2764">
        <w:rPr>
          <w:rFonts w:ascii="Arial" w:hAnsi="Arial"/>
          <w:bCs/>
          <w:sz w:val="28"/>
          <w:szCs w:val="24"/>
          <w:lang w:val="fr-FR"/>
        </w:rPr>
        <w:t>Mesures pour ratifier et mettre en œuvre</w:t>
      </w:r>
      <w:r w:rsidRPr="000A2764">
        <w:rPr>
          <w:rFonts w:ascii="Arial" w:hAnsi="Arial"/>
          <w:bCs/>
          <w:sz w:val="28"/>
          <w:szCs w:val="24"/>
          <w:lang w:val="fr-FR"/>
        </w:rPr>
        <w:t xml:space="preserve"> la Convention</w:t>
      </w:r>
    </w:p>
    <w:tbl>
      <w:tblPr>
        <w:tblW w:w="13608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ayout w:type="fixed"/>
        <w:tblLook w:val="00A0" w:firstRow="1" w:lastRow="0" w:firstColumn="1" w:lastColumn="0" w:noHBand="0" w:noVBand="0"/>
      </w:tblPr>
      <w:tblGrid>
        <w:gridCol w:w="2448"/>
        <w:gridCol w:w="11160"/>
      </w:tblGrid>
      <w:tr w:rsidR="00B34E94" w:rsidRPr="0024373B" w:rsidTr="00572110">
        <w:tc>
          <w:tcPr>
            <w:tcW w:w="2448" w:type="dxa"/>
            <w:tcBorders>
              <w:right w:val="nil"/>
            </w:tcBorders>
            <w:shd w:val="clear" w:color="auto" w:fill="4F81BD"/>
          </w:tcPr>
          <w:p w:rsidR="00B34E94" w:rsidRPr="0024373B" w:rsidRDefault="00572110" w:rsidP="008461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color w:val="FFFFFF"/>
                <w:sz w:val="24"/>
                <w:szCs w:val="24"/>
                <w:lang w:val="en-GB"/>
              </w:rPr>
            </w:pPr>
            <w:r w:rsidRPr="000A2764">
              <w:rPr>
                <w:rFonts w:ascii="Arial" w:hAnsi="Arial"/>
                <w:b/>
                <w:color w:val="FFFFFF"/>
                <w:sz w:val="24"/>
                <w:szCs w:val="24"/>
                <w:lang w:val="fr-FR"/>
              </w:rPr>
              <w:t>Question</w:t>
            </w:r>
          </w:p>
        </w:tc>
        <w:tc>
          <w:tcPr>
            <w:tcW w:w="11160" w:type="dxa"/>
            <w:tcBorders>
              <w:left w:val="nil"/>
            </w:tcBorders>
            <w:shd w:val="clear" w:color="auto" w:fill="4F81BD"/>
          </w:tcPr>
          <w:p w:rsidR="00B34E94" w:rsidRPr="0024373B" w:rsidRDefault="00AE0518" w:rsidP="008461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color w:val="FFFFFF"/>
                <w:sz w:val="24"/>
                <w:szCs w:val="24"/>
                <w:lang w:val="en-GB"/>
              </w:rPr>
            </w:pPr>
            <w:r>
              <w:rPr>
                <w:rFonts w:ascii="Arial" w:hAnsi="Arial"/>
                <w:color w:val="FFFFFF"/>
                <w:sz w:val="24"/>
                <w:szCs w:val="24"/>
                <w:lang w:val="fr-FR"/>
              </w:rPr>
              <w:t>Messages principaux</w:t>
            </w:r>
          </w:p>
        </w:tc>
      </w:tr>
      <w:tr w:rsidR="00B34E94" w:rsidRPr="0024373B" w:rsidTr="00572110">
        <w:tc>
          <w:tcPr>
            <w:tcW w:w="2448" w:type="dxa"/>
            <w:tcBorders>
              <w:right w:val="nil"/>
            </w:tcBorders>
            <w:shd w:val="clear" w:color="auto" w:fill="D3DFEE"/>
          </w:tcPr>
          <w:p w:rsidR="00B34E94" w:rsidRPr="0024373B" w:rsidRDefault="00572110" w:rsidP="008461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val="en-GB"/>
              </w:rPr>
            </w:pPr>
            <w:r w:rsidRPr="000A2764">
              <w:rPr>
                <w:rFonts w:ascii="Arial" w:hAnsi="Arial"/>
                <w:bCs/>
                <w:sz w:val="24"/>
                <w:szCs w:val="24"/>
                <w:lang w:val="fr-FR"/>
              </w:rPr>
              <w:t>Mesures internationales pour la ratification</w:t>
            </w:r>
            <w:r w:rsidR="00B34E94" w:rsidRPr="0024373B">
              <w:rPr>
                <w:rFonts w:ascii="Arial" w:hAnsi="Arial"/>
                <w:bCs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1160" w:type="dxa"/>
            <w:tcBorders>
              <w:left w:val="nil"/>
            </w:tcBorders>
            <w:shd w:val="clear" w:color="auto" w:fill="D3DFEE"/>
          </w:tcPr>
          <w:p w:rsidR="00B34E94" w:rsidRPr="0024373B" w:rsidRDefault="00572110" w:rsidP="008461EA">
            <w:pPr>
              <w:pStyle w:val="Default"/>
              <w:numPr>
                <w:ilvl w:val="0"/>
                <w:numId w:val="23"/>
              </w:numPr>
              <w:ind w:right="22"/>
              <w:rPr>
                <w:rFonts w:ascii="Arial" w:hAnsi="Arial" w:cs="Arial"/>
                <w:lang w:val="en-GB"/>
              </w:rPr>
            </w:pPr>
            <w:r w:rsidRPr="000A2764">
              <w:rPr>
                <w:rFonts w:ascii="Arial" w:hAnsi="Arial" w:cs="Arial"/>
                <w:b/>
                <w:lang w:val="fr-FR"/>
              </w:rPr>
              <w:t xml:space="preserve">La signature </w:t>
            </w:r>
            <w:r w:rsidRPr="000A2764">
              <w:rPr>
                <w:rFonts w:ascii="Arial" w:hAnsi="Arial" w:cs="Arial"/>
                <w:lang w:val="fr-FR"/>
              </w:rPr>
              <w:t>de la Convention est un acte par lequel un Etat ou une organisation d’intégration régionale exprime son intérêt dans un traité et son intention d’être partie à celui-ci.</w:t>
            </w:r>
            <w:r w:rsidR="00B34E94" w:rsidRPr="0024373B">
              <w:rPr>
                <w:rFonts w:ascii="Arial" w:hAnsi="Arial" w:cs="Arial"/>
                <w:lang w:val="en-GB"/>
              </w:rPr>
              <w:t xml:space="preserve"> </w:t>
            </w:r>
            <w:r w:rsidRPr="000A2764">
              <w:rPr>
                <w:rFonts w:ascii="Arial" w:hAnsi="Arial" w:cs="Arial"/>
                <w:lang w:val="fr-FR"/>
              </w:rPr>
              <w:t>Les Etats et les organisations ne sont pas liés par la signature.</w:t>
            </w:r>
            <w:r w:rsidR="00B34E94" w:rsidRPr="0024373B">
              <w:rPr>
                <w:rFonts w:ascii="Arial" w:hAnsi="Arial" w:cs="Arial"/>
                <w:lang w:val="en-GB"/>
              </w:rPr>
              <w:t xml:space="preserve"> </w:t>
            </w:r>
            <w:r w:rsidRPr="000A2764">
              <w:rPr>
                <w:rFonts w:ascii="Arial" w:hAnsi="Arial" w:cs="Arial"/>
                <w:lang w:val="fr-FR"/>
              </w:rPr>
              <w:t>Cependant, ils ont l’obligation</w:t>
            </w:r>
            <w:r w:rsidR="000A2764" w:rsidRPr="000A2764">
              <w:rPr>
                <w:rFonts w:ascii="Arial" w:hAnsi="Arial" w:cs="Arial"/>
                <w:lang w:val="fr-FR"/>
              </w:rPr>
              <w:t xml:space="preserve"> de s’abstenir de tout acte incompatible avec l’objet et le but de la présente Convention</w:t>
            </w:r>
            <w:r w:rsidRPr="000A2764">
              <w:rPr>
                <w:rFonts w:ascii="Arial" w:hAnsi="Arial" w:cs="Arial"/>
                <w:lang w:val="fr-FR"/>
              </w:rPr>
              <w:t>.</w:t>
            </w:r>
            <w:r w:rsidR="00B34E94" w:rsidRPr="0024373B">
              <w:rPr>
                <w:rFonts w:ascii="Arial" w:hAnsi="Arial" w:cs="Arial"/>
                <w:lang w:val="en-GB"/>
              </w:rPr>
              <w:t xml:space="preserve"> </w:t>
            </w:r>
          </w:p>
          <w:p w:rsidR="00B34E94" w:rsidRPr="0024373B" w:rsidRDefault="00572110" w:rsidP="008461EA">
            <w:pPr>
              <w:pStyle w:val="Default"/>
              <w:numPr>
                <w:ilvl w:val="0"/>
                <w:numId w:val="23"/>
              </w:numPr>
              <w:ind w:right="22"/>
              <w:rPr>
                <w:rFonts w:ascii="Arial" w:hAnsi="Arial" w:cs="Arial"/>
                <w:lang w:val="en-GB"/>
              </w:rPr>
            </w:pPr>
            <w:r w:rsidRPr="000A2764">
              <w:rPr>
                <w:rFonts w:ascii="Arial" w:hAnsi="Arial" w:cs="Arial"/>
                <w:b/>
                <w:lang w:val="fr-FR"/>
              </w:rPr>
              <w:t xml:space="preserve">La ratification </w:t>
            </w:r>
            <w:r w:rsidRPr="000A2764">
              <w:rPr>
                <w:rFonts w:ascii="Arial" w:hAnsi="Arial" w:cs="Arial"/>
                <w:lang w:val="fr-FR"/>
              </w:rPr>
              <w:t>consiste à déposer – par une lettre formelle – un instrument de ratification signé au niveau national par l’Etat en compagnie du Secrétaire général des Nations Unies, en qualité de dépositaire de la Convention selon l’article 41.</w:t>
            </w:r>
          </w:p>
          <w:p w:rsidR="00B34E94" w:rsidRPr="0024373B" w:rsidRDefault="00572110" w:rsidP="008461EA">
            <w:pPr>
              <w:pStyle w:val="Default"/>
              <w:numPr>
                <w:ilvl w:val="0"/>
                <w:numId w:val="23"/>
              </w:numPr>
              <w:ind w:right="22"/>
              <w:rPr>
                <w:rFonts w:ascii="Arial" w:hAnsi="Arial" w:cs="Arial"/>
                <w:lang w:val="en-GB"/>
              </w:rPr>
            </w:pPr>
            <w:r w:rsidRPr="000A2764">
              <w:rPr>
                <w:rFonts w:ascii="Arial" w:hAnsi="Arial" w:cs="Arial"/>
                <w:b/>
                <w:lang w:val="fr-FR"/>
              </w:rPr>
              <w:t xml:space="preserve">La confirmation </w:t>
            </w:r>
            <w:r w:rsidRPr="000A2764">
              <w:rPr>
                <w:rFonts w:ascii="Arial" w:hAnsi="Arial" w:cs="Arial"/>
                <w:lang w:val="fr-FR"/>
              </w:rPr>
              <w:t>est utilisée comme synonyme du terme « ratification », lorsqu’une organisation d’intégration régionale exprime son consentement à être liée par un traité.</w:t>
            </w:r>
          </w:p>
          <w:p w:rsidR="00B34E94" w:rsidRPr="0024373B" w:rsidRDefault="0025302C" w:rsidP="008461EA">
            <w:pPr>
              <w:pStyle w:val="Default"/>
              <w:numPr>
                <w:ilvl w:val="0"/>
                <w:numId w:val="23"/>
              </w:numPr>
              <w:ind w:right="22"/>
              <w:rPr>
                <w:rFonts w:ascii="Arial" w:hAnsi="Arial" w:cs="Arial"/>
                <w:lang w:val="en-GB"/>
              </w:rPr>
            </w:pPr>
            <w:r w:rsidRPr="000A2764">
              <w:rPr>
                <w:rFonts w:ascii="Arial" w:hAnsi="Arial" w:cs="Arial"/>
                <w:b/>
                <w:lang w:val="fr-FR"/>
              </w:rPr>
              <w:t>L'adhésion</w:t>
            </w:r>
            <w:r w:rsidR="00572110" w:rsidRPr="000A2764">
              <w:rPr>
                <w:rFonts w:ascii="Arial" w:hAnsi="Arial" w:cs="Arial"/>
                <w:b/>
                <w:lang w:val="fr-FR"/>
              </w:rPr>
              <w:t xml:space="preserve"> </w:t>
            </w:r>
            <w:r w:rsidR="00572110" w:rsidRPr="000A2764">
              <w:rPr>
                <w:rFonts w:ascii="Arial" w:hAnsi="Arial" w:cs="Arial"/>
                <w:lang w:val="fr-FR"/>
              </w:rPr>
              <w:t>consiste à déposer un instrument d'</w:t>
            </w:r>
            <w:r w:rsidRPr="000A2764">
              <w:rPr>
                <w:rFonts w:ascii="Arial" w:hAnsi="Arial" w:cs="Arial"/>
                <w:lang w:val="fr-FR"/>
              </w:rPr>
              <w:t xml:space="preserve">adhésion </w:t>
            </w:r>
            <w:r w:rsidR="00572110" w:rsidRPr="000A2764">
              <w:rPr>
                <w:rFonts w:ascii="Arial" w:hAnsi="Arial" w:cs="Arial"/>
                <w:lang w:val="fr-FR"/>
              </w:rPr>
              <w:t xml:space="preserve">auprès du dépositaire et a les mêmes effets juridiques que la </w:t>
            </w:r>
            <w:r w:rsidR="008461EA" w:rsidRPr="000A2764">
              <w:rPr>
                <w:rFonts w:ascii="Arial" w:hAnsi="Arial" w:cs="Arial"/>
                <w:lang w:val="fr-FR"/>
              </w:rPr>
              <w:t>ratification ;</w:t>
            </w:r>
            <w:r w:rsidR="00C47558" w:rsidRPr="000A2764">
              <w:rPr>
                <w:rFonts w:ascii="Arial" w:hAnsi="Arial" w:cs="Arial"/>
                <w:lang w:val="fr-FR"/>
              </w:rPr>
              <w:t xml:space="preserve"> cependant, contrairement à la ratification, elle ne nécessite pas d’être précédée de la signature.</w:t>
            </w:r>
            <w:r w:rsidR="00B34E94" w:rsidRPr="0024373B"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B34E94" w:rsidRPr="0024373B" w:rsidTr="00572110">
        <w:tc>
          <w:tcPr>
            <w:tcW w:w="2448" w:type="dxa"/>
            <w:tcBorders>
              <w:right w:val="nil"/>
            </w:tcBorders>
          </w:tcPr>
          <w:p w:rsidR="00B34E94" w:rsidRPr="0024373B" w:rsidRDefault="00C47558" w:rsidP="008461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0A2764">
              <w:rPr>
                <w:rFonts w:ascii="Arial" w:hAnsi="Arial"/>
                <w:color w:val="000000"/>
                <w:sz w:val="24"/>
                <w:szCs w:val="24"/>
                <w:lang w:val="fr-FR"/>
              </w:rPr>
              <w:t>Mesures nationales pour la ratification</w:t>
            </w:r>
          </w:p>
          <w:p w:rsidR="00B34E94" w:rsidRPr="0024373B" w:rsidRDefault="00B34E94" w:rsidP="007D4B68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160" w:type="dxa"/>
            <w:tcBorders>
              <w:left w:val="nil"/>
            </w:tcBorders>
          </w:tcPr>
          <w:p w:rsidR="00B34E94" w:rsidRPr="0024373B" w:rsidRDefault="00C47558" w:rsidP="008461EA">
            <w:pPr>
              <w:pStyle w:val="Default"/>
              <w:ind w:right="22"/>
              <w:rPr>
                <w:rFonts w:ascii="Arial" w:hAnsi="Arial" w:cs="Arial"/>
                <w:lang w:val="en-GB"/>
              </w:rPr>
            </w:pPr>
            <w:r w:rsidRPr="000A2764">
              <w:rPr>
                <w:rFonts w:ascii="Arial" w:hAnsi="Arial" w:cs="Arial"/>
                <w:lang w:val="fr-FR"/>
              </w:rPr>
              <w:t>Il existe deux approches principales selon le rôle que joue le pouvoir législatif.</w:t>
            </w:r>
          </w:p>
          <w:p w:rsidR="00B34E94" w:rsidRPr="0024373B" w:rsidRDefault="00C47558" w:rsidP="008461EA">
            <w:pPr>
              <w:pStyle w:val="Default"/>
              <w:numPr>
                <w:ilvl w:val="0"/>
                <w:numId w:val="24"/>
              </w:numPr>
              <w:ind w:right="22"/>
              <w:rPr>
                <w:rFonts w:ascii="Arial" w:hAnsi="Arial" w:cs="Arial"/>
                <w:lang w:val="en-GB"/>
              </w:rPr>
            </w:pPr>
            <w:r w:rsidRPr="000A2764">
              <w:rPr>
                <w:rFonts w:ascii="Arial" w:hAnsi="Arial" w:cs="Arial"/>
                <w:b/>
                <w:lang w:val="fr-FR"/>
              </w:rPr>
              <w:t xml:space="preserve">Dans les pays de droit romain, </w:t>
            </w:r>
            <w:r w:rsidRPr="000A2764">
              <w:rPr>
                <w:rFonts w:ascii="Arial" w:hAnsi="Arial" w:cs="Arial"/>
                <w:lang w:val="fr-FR"/>
              </w:rPr>
              <w:t>la ratification se fait par l'approbation du traité par le pouvoir législatif.</w:t>
            </w:r>
            <w:r w:rsidR="00B34E94" w:rsidRPr="0024373B">
              <w:rPr>
                <w:rFonts w:ascii="Arial" w:hAnsi="Arial" w:cs="Arial"/>
                <w:lang w:val="en-GB"/>
              </w:rPr>
              <w:t xml:space="preserve"> </w:t>
            </w:r>
            <w:r w:rsidRPr="000A2764">
              <w:rPr>
                <w:rFonts w:ascii="Arial" w:hAnsi="Arial" w:cs="Arial"/>
                <w:lang w:val="fr-FR"/>
              </w:rPr>
              <w:t>A la suite du vote d'approbation, l'acte de ratification est adressé à l'exécutif pour promulgation, publication et dépôt auprès du dépositaire du traité. Ex. Argentine, Chili, Croatie, Equateur, Hongrie, Mali, Niger, Panama et Espagne.</w:t>
            </w:r>
            <w:r w:rsidR="00B34E94" w:rsidRPr="0024373B">
              <w:rPr>
                <w:rFonts w:ascii="Arial" w:hAnsi="Arial" w:cs="Arial"/>
                <w:lang w:val="en-GB"/>
              </w:rPr>
              <w:t xml:space="preserve"> </w:t>
            </w:r>
          </w:p>
          <w:p w:rsidR="00B34E94" w:rsidRPr="0024373B" w:rsidRDefault="00C47558" w:rsidP="008461EA">
            <w:pPr>
              <w:pStyle w:val="Default"/>
              <w:numPr>
                <w:ilvl w:val="0"/>
                <w:numId w:val="24"/>
              </w:numPr>
              <w:ind w:right="22"/>
              <w:rPr>
                <w:rFonts w:ascii="Arial" w:hAnsi="Arial" w:cs="Arial"/>
                <w:lang w:val="en-GB"/>
              </w:rPr>
            </w:pPr>
            <w:r w:rsidRPr="000A2764">
              <w:rPr>
                <w:rFonts w:ascii="Arial" w:hAnsi="Arial" w:cs="Arial"/>
                <w:b/>
                <w:lang w:val="fr-FR"/>
              </w:rPr>
              <w:t xml:space="preserve">Dans la plupart des pays de tradition de </w:t>
            </w:r>
            <w:r w:rsidRPr="000A2764">
              <w:rPr>
                <w:rFonts w:ascii="Arial" w:hAnsi="Arial" w:cs="Arial"/>
                <w:b/>
                <w:i/>
                <w:lang w:val="fr-FR"/>
              </w:rPr>
              <w:t xml:space="preserve">common law, </w:t>
            </w:r>
            <w:r w:rsidRPr="000A2764">
              <w:rPr>
                <w:rFonts w:ascii="Arial" w:hAnsi="Arial" w:cs="Arial"/>
                <w:lang w:val="fr-FR"/>
              </w:rPr>
              <w:t>ainsi que dans d'autres systèmes juridiques, la ratification se fait par un acte de l’exécutif ; si le parlement est impliqué</w:t>
            </w:r>
            <w:r w:rsidR="008461EA">
              <w:rPr>
                <w:rFonts w:ascii="Arial" w:hAnsi="Arial" w:cs="Arial"/>
                <w:lang w:val="fr-FR"/>
              </w:rPr>
              <w:t xml:space="preserve">, c’est essentiellement pour </w:t>
            </w:r>
            <w:r w:rsidRPr="000A2764">
              <w:rPr>
                <w:rFonts w:ascii="Arial" w:hAnsi="Arial" w:cs="Arial"/>
                <w:lang w:val="fr-FR"/>
              </w:rPr>
              <w:t>avis consultatif. Ex. Bangladesh, Nouvelle Zélande et Thaïlande.</w:t>
            </w:r>
          </w:p>
        </w:tc>
      </w:tr>
      <w:tr w:rsidR="00B34E94" w:rsidRPr="0024373B" w:rsidTr="00572110">
        <w:tc>
          <w:tcPr>
            <w:tcW w:w="2448" w:type="dxa"/>
            <w:tcBorders>
              <w:right w:val="nil"/>
            </w:tcBorders>
            <w:shd w:val="clear" w:color="auto" w:fill="D3DFEE"/>
          </w:tcPr>
          <w:p w:rsidR="00B34E94" w:rsidRPr="0024373B" w:rsidRDefault="000A2764" w:rsidP="008461EA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val="en-GB"/>
              </w:rPr>
            </w:pPr>
            <w:r w:rsidRPr="000A2764">
              <w:rPr>
                <w:rFonts w:ascii="Arial" w:hAnsi="Arial"/>
                <w:bCs/>
                <w:sz w:val="24"/>
                <w:szCs w:val="24"/>
                <w:lang w:val="fr-FR"/>
              </w:rPr>
              <w:t>Solution pour des processus nationaux à la fois transparents et participatifs</w:t>
            </w:r>
          </w:p>
        </w:tc>
        <w:tc>
          <w:tcPr>
            <w:tcW w:w="11160" w:type="dxa"/>
            <w:tcBorders>
              <w:left w:val="nil"/>
            </w:tcBorders>
            <w:shd w:val="clear" w:color="auto" w:fill="D3DFEE"/>
          </w:tcPr>
          <w:p w:rsidR="00B34E94" w:rsidRPr="0024373B" w:rsidRDefault="00C47558" w:rsidP="008461EA">
            <w:pPr>
              <w:pStyle w:val="Default"/>
              <w:numPr>
                <w:ilvl w:val="0"/>
                <w:numId w:val="25"/>
              </w:numPr>
              <w:ind w:right="22"/>
              <w:rPr>
                <w:rFonts w:ascii="Arial" w:hAnsi="Arial" w:cs="Arial"/>
                <w:lang w:val="en-GB"/>
              </w:rPr>
            </w:pPr>
            <w:r w:rsidRPr="000A2764">
              <w:rPr>
                <w:rFonts w:ascii="Arial" w:hAnsi="Arial" w:cs="Arial"/>
                <w:b/>
                <w:lang w:val="fr-FR"/>
              </w:rPr>
              <w:t>Analyse de l’intérêt national :</w:t>
            </w:r>
            <w:r w:rsidR="00B34E94" w:rsidRPr="0024373B">
              <w:rPr>
                <w:rFonts w:ascii="Arial" w:hAnsi="Arial" w:cs="Arial"/>
                <w:lang w:val="en-GB"/>
              </w:rPr>
              <w:t xml:space="preserve"> </w:t>
            </w:r>
            <w:r w:rsidRPr="000A2764">
              <w:rPr>
                <w:rFonts w:ascii="Arial" w:hAnsi="Arial" w:cs="Arial"/>
                <w:lang w:val="fr-FR"/>
              </w:rPr>
              <w:t>afin d'évaluer les avantages et les inconvénients de la ratification.</w:t>
            </w:r>
            <w:r w:rsidR="0024373B" w:rsidRPr="0024373B">
              <w:rPr>
                <w:rFonts w:ascii="Arial" w:hAnsi="Arial" w:cs="Arial"/>
                <w:lang w:val="en-GB"/>
              </w:rPr>
              <w:t xml:space="preserve"> </w:t>
            </w:r>
            <w:r w:rsidRPr="000A2764">
              <w:rPr>
                <w:rFonts w:ascii="Arial" w:hAnsi="Arial" w:cs="Arial"/>
                <w:lang w:val="fr-FR"/>
              </w:rPr>
              <w:t>L'objectif est d’examiner la législation et les politiques nationales pour vérifier leur degré de conformité avec la Convention.</w:t>
            </w:r>
            <w:r w:rsidR="0024373B" w:rsidRPr="0024373B">
              <w:rPr>
                <w:rFonts w:ascii="Arial" w:hAnsi="Arial" w:cs="Arial"/>
                <w:lang w:val="en-GB"/>
              </w:rPr>
              <w:t xml:space="preserve"> </w:t>
            </w:r>
            <w:r w:rsidRPr="000A2764">
              <w:rPr>
                <w:rFonts w:ascii="Arial" w:hAnsi="Arial" w:cs="Arial"/>
                <w:lang w:val="fr-FR"/>
              </w:rPr>
              <w:t>Ce processus préalable à la ratification se poursuit au</w:t>
            </w:r>
            <w:r w:rsidR="000A2764" w:rsidRPr="000A2764">
              <w:rPr>
                <w:rFonts w:ascii="Arial" w:hAnsi="Arial" w:cs="Arial"/>
                <w:lang w:val="fr-FR"/>
              </w:rPr>
              <w:t xml:space="preserve"> cours de la phase de mise en œuvre,</w:t>
            </w:r>
            <w:r w:rsidRPr="000A2764">
              <w:rPr>
                <w:rFonts w:ascii="Arial" w:hAnsi="Arial" w:cs="Arial"/>
                <w:lang w:val="fr-FR"/>
              </w:rPr>
              <w:t xml:space="preserve"> et y contribue, laquelle comprend la modification des lois et politiques ou la rédaction de nouvelles lois et politiques.</w:t>
            </w:r>
            <w:r w:rsidR="0024373B" w:rsidRPr="0024373B">
              <w:rPr>
                <w:rFonts w:ascii="Arial" w:hAnsi="Arial" w:cs="Arial"/>
                <w:lang w:val="en-GB"/>
              </w:rPr>
              <w:t xml:space="preserve"> </w:t>
            </w:r>
            <w:r w:rsidRPr="0081353A">
              <w:rPr>
                <w:rFonts w:ascii="Arial" w:hAnsi="Arial" w:cs="Arial"/>
                <w:lang w:val="fr-FR"/>
              </w:rPr>
              <w:t>Il es</w:t>
            </w:r>
            <w:r w:rsidR="0081353A" w:rsidRPr="0081353A">
              <w:rPr>
                <w:rFonts w:ascii="Arial" w:hAnsi="Arial" w:cs="Arial"/>
                <w:lang w:val="fr-FR"/>
              </w:rPr>
              <w:t>t préférable de rendre publiques</w:t>
            </w:r>
            <w:r w:rsidRPr="0081353A">
              <w:rPr>
                <w:rFonts w:ascii="Arial" w:hAnsi="Arial" w:cs="Arial"/>
                <w:lang w:val="fr-FR"/>
              </w:rPr>
              <w:t xml:space="preserve"> les conclusions de l</w:t>
            </w:r>
            <w:r w:rsidR="0081353A" w:rsidRPr="0081353A">
              <w:rPr>
                <w:rFonts w:ascii="Arial" w:hAnsi="Arial" w:cs="Arial"/>
                <w:lang w:val="fr-FR"/>
              </w:rPr>
              <w:t>'analyse d'intérêt national que le Gouvernement a menée</w:t>
            </w:r>
            <w:r w:rsidRPr="0081353A">
              <w:rPr>
                <w:rFonts w:ascii="Arial" w:hAnsi="Arial" w:cs="Arial"/>
                <w:lang w:val="fr-FR"/>
              </w:rPr>
              <w:t>.</w:t>
            </w:r>
            <w:r w:rsidR="00B34E94" w:rsidRPr="0024373B">
              <w:rPr>
                <w:rFonts w:ascii="Arial" w:hAnsi="Arial" w:cs="Arial"/>
                <w:lang w:val="en-GB"/>
              </w:rPr>
              <w:t xml:space="preserve"> </w:t>
            </w:r>
          </w:p>
          <w:p w:rsidR="00B34E94" w:rsidRPr="0024373B" w:rsidRDefault="00C47558" w:rsidP="008461EA">
            <w:pPr>
              <w:pStyle w:val="Default"/>
              <w:numPr>
                <w:ilvl w:val="0"/>
                <w:numId w:val="25"/>
              </w:numPr>
              <w:ind w:right="22"/>
              <w:rPr>
                <w:rFonts w:ascii="Arial" w:hAnsi="Arial" w:cs="Arial"/>
                <w:lang w:val="en-GB"/>
              </w:rPr>
            </w:pPr>
            <w:r w:rsidRPr="0081353A">
              <w:rPr>
                <w:rFonts w:ascii="Arial" w:hAnsi="Arial" w:cs="Arial"/>
                <w:b/>
                <w:lang w:val="fr-FR"/>
              </w:rPr>
              <w:t>Large consultation nationale :</w:t>
            </w:r>
            <w:r w:rsidR="00B34E94" w:rsidRPr="0024373B">
              <w:rPr>
                <w:rFonts w:ascii="Arial" w:hAnsi="Arial" w:cs="Arial"/>
                <w:lang w:val="en-GB"/>
              </w:rPr>
              <w:t xml:space="preserve"> </w:t>
            </w:r>
            <w:r w:rsidR="008461EA">
              <w:rPr>
                <w:rFonts w:ascii="Arial" w:hAnsi="Arial" w:cs="Arial"/>
                <w:lang w:val="fr-FR"/>
              </w:rPr>
              <w:t>l</w:t>
            </w:r>
            <w:r w:rsidRPr="0081353A">
              <w:rPr>
                <w:rFonts w:ascii="Arial" w:hAnsi="Arial" w:cs="Arial"/>
                <w:lang w:val="fr-FR"/>
              </w:rPr>
              <w:t>a consultation peut contrib</w:t>
            </w:r>
            <w:r w:rsidR="00627396" w:rsidRPr="0081353A">
              <w:rPr>
                <w:rFonts w:ascii="Arial" w:hAnsi="Arial" w:cs="Arial"/>
                <w:lang w:val="fr-FR"/>
              </w:rPr>
              <w:t xml:space="preserve">uer à rendre la </w:t>
            </w:r>
            <w:r w:rsidRPr="0081353A">
              <w:rPr>
                <w:rFonts w:ascii="Arial" w:hAnsi="Arial" w:cs="Arial"/>
                <w:lang w:val="fr-FR"/>
              </w:rPr>
              <w:t>ratification</w:t>
            </w:r>
            <w:r w:rsidR="00627396" w:rsidRPr="0081353A">
              <w:rPr>
                <w:rFonts w:ascii="Arial" w:hAnsi="Arial" w:cs="Arial"/>
                <w:lang w:val="fr-FR"/>
              </w:rPr>
              <w:t xml:space="preserve"> effective</w:t>
            </w:r>
            <w:r w:rsidRPr="0081353A">
              <w:rPr>
                <w:rFonts w:ascii="Arial" w:hAnsi="Arial" w:cs="Arial"/>
                <w:lang w:val="fr-FR"/>
              </w:rPr>
              <w:t>.</w:t>
            </w:r>
            <w:r w:rsidR="0024373B" w:rsidRPr="0024373B">
              <w:rPr>
                <w:rFonts w:ascii="Arial" w:hAnsi="Arial" w:cs="Arial"/>
                <w:lang w:val="en-GB"/>
              </w:rPr>
              <w:t xml:space="preserve"> </w:t>
            </w:r>
            <w:r w:rsidR="00627396" w:rsidRPr="0081353A">
              <w:rPr>
                <w:rFonts w:ascii="Arial" w:hAnsi="Arial" w:cs="Arial"/>
                <w:lang w:val="fr-FR"/>
              </w:rPr>
              <w:t xml:space="preserve">La consultation doit se situer au niveau des services et organismes publics, et si nécessaire au niveau </w:t>
            </w:r>
            <w:r w:rsidR="00627396" w:rsidRPr="0081353A">
              <w:rPr>
                <w:rFonts w:ascii="Arial" w:hAnsi="Arial" w:cs="Arial"/>
                <w:lang w:val="fr-FR"/>
              </w:rPr>
              <w:lastRenderedPageBreak/>
              <w:t>national et territorial.</w:t>
            </w:r>
            <w:r w:rsidR="0024373B" w:rsidRPr="0024373B">
              <w:rPr>
                <w:rFonts w:ascii="Arial" w:hAnsi="Arial" w:cs="Arial"/>
                <w:lang w:val="en-GB"/>
              </w:rPr>
              <w:t xml:space="preserve"> </w:t>
            </w:r>
            <w:r w:rsidR="00627396" w:rsidRPr="0081353A">
              <w:rPr>
                <w:rFonts w:ascii="Arial" w:hAnsi="Arial" w:cs="Arial"/>
                <w:lang w:val="fr-FR"/>
              </w:rPr>
              <w:t>Le processus de consultation nationale doit permettre de mieux comprend</w:t>
            </w:r>
            <w:r w:rsidR="0081353A" w:rsidRPr="0081353A">
              <w:rPr>
                <w:rFonts w:ascii="Arial" w:hAnsi="Arial" w:cs="Arial"/>
                <w:lang w:val="fr-FR"/>
              </w:rPr>
              <w:t xml:space="preserve">re la Convention, d’aider </w:t>
            </w:r>
            <w:r w:rsidR="00627396" w:rsidRPr="0081353A">
              <w:rPr>
                <w:rFonts w:ascii="Arial" w:hAnsi="Arial" w:cs="Arial"/>
                <w:lang w:val="fr-FR"/>
              </w:rPr>
              <w:t>à s'assurer de la conformité des lois, politiques et programme</w:t>
            </w:r>
            <w:r w:rsidR="0081353A" w:rsidRPr="0081353A">
              <w:rPr>
                <w:rFonts w:ascii="Arial" w:hAnsi="Arial" w:cs="Arial"/>
                <w:lang w:val="fr-FR"/>
              </w:rPr>
              <w:t>s</w:t>
            </w:r>
            <w:r w:rsidR="00627396" w:rsidRPr="0081353A">
              <w:rPr>
                <w:rFonts w:ascii="Arial" w:hAnsi="Arial" w:cs="Arial"/>
                <w:lang w:val="fr-FR"/>
              </w:rPr>
              <w:t xml:space="preserve"> avec la Convention et de définir les domaines susceptibles d'être améliorés.</w:t>
            </w:r>
            <w:r w:rsidR="00B34E94" w:rsidRPr="0024373B">
              <w:rPr>
                <w:rFonts w:ascii="Arial" w:hAnsi="Arial" w:cs="Arial"/>
                <w:lang w:val="en-GB"/>
              </w:rPr>
              <w:t xml:space="preserve"> </w:t>
            </w:r>
          </w:p>
          <w:p w:rsidR="00B34E94" w:rsidRPr="0024373B" w:rsidRDefault="00627396" w:rsidP="008461EA">
            <w:pPr>
              <w:pStyle w:val="Paragraphedeliste"/>
              <w:numPr>
                <w:ilvl w:val="0"/>
                <w:numId w:val="25"/>
              </w:numPr>
              <w:spacing w:after="0" w:line="240" w:lineRule="auto"/>
              <w:ind w:right="22"/>
              <w:rPr>
                <w:rFonts w:ascii="Arial" w:hAnsi="Arial"/>
                <w:color w:val="000000"/>
                <w:lang w:val="en-GB"/>
              </w:rPr>
            </w:pPr>
            <w:r w:rsidRPr="0081353A">
              <w:rPr>
                <w:rFonts w:ascii="Arial" w:hAnsi="Arial"/>
                <w:color w:val="000000"/>
                <w:sz w:val="24"/>
                <w:lang w:val="fr-FR"/>
              </w:rPr>
              <w:t>La s</w:t>
            </w:r>
            <w:r w:rsidRPr="0081353A">
              <w:rPr>
                <w:rFonts w:ascii="Arial" w:hAnsi="Arial"/>
                <w:color w:val="000000"/>
                <w:sz w:val="24"/>
                <w:szCs w:val="24"/>
                <w:lang w:val="fr-FR"/>
              </w:rPr>
              <w:t>ensibilisation :</w:t>
            </w:r>
            <w:r w:rsidR="00B34E94" w:rsidRPr="0024373B">
              <w:rPr>
                <w:rFonts w:ascii="Arial" w:hAnsi="Arial"/>
                <w:color w:val="000000"/>
                <w:sz w:val="24"/>
                <w:szCs w:val="24"/>
                <w:lang w:val="en-GB"/>
              </w:rPr>
              <w:t xml:space="preserve"> </w:t>
            </w:r>
            <w:r w:rsidRPr="0081353A">
              <w:rPr>
                <w:rFonts w:ascii="Arial" w:hAnsi="Arial"/>
                <w:color w:val="000000"/>
                <w:sz w:val="24"/>
                <w:szCs w:val="24"/>
                <w:lang w:val="fr-FR"/>
              </w:rPr>
              <w:t>assure un</w:t>
            </w:r>
            <w:r w:rsidR="008461EA">
              <w:rPr>
                <w:rFonts w:ascii="Arial" w:hAnsi="Arial"/>
                <w:color w:val="000000"/>
                <w:sz w:val="24"/>
                <w:szCs w:val="24"/>
                <w:lang w:val="fr-FR"/>
              </w:rPr>
              <w:t>e</w:t>
            </w:r>
            <w:r w:rsidRPr="0081353A">
              <w:rPr>
                <w:rFonts w:ascii="Arial" w:hAnsi="Arial"/>
                <w:color w:val="000000"/>
                <w:sz w:val="24"/>
                <w:szCs w:val="24"/>
                <w:lang w:val="fr-FR"/>
              </w:rPr>
              <w:t xml:space="preserve"> bonne compréhension de la Convention parmi les fonctionnaires d’Etat, les organisations de personnes handicapées (OPH) et la société civile.</w:t>
            </w:r>
          </w:p>
        </w:tc>
      </w:tr>
      <w:tr w:rsidR="00B34E94" w:rsidRPr="0024373B" w:rsidTr="0081353A">
        <w:trPr>
          <w:trHeight w:val="2473"/>
        </w:trPr>
        <w:tc>
          <w:tcPr>
            <w:tcW w:w="2448" w:type="dxa"/>
            <w:tcBorders>
              <w:right w:val="nil"/>
            </w:tcBorders>
          </w:tcPr>
          <w:p w:rsidR="00B34E94" w:rsidRPr="0024373B" w:rsidRDefault="00627396" w:rsidP="008461EA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val="en-GB"/>
              </w:rPr>
            </w:pPr>
            <w:r w:rsidRPr="0081353A">
              <w:rPr>
                <w:rFonts w:ascii="Arial" w:hAnsi="Arial"/>
                <w:bCs/>
                <w:sz w:val="24"/>
                <w:szCs w:val="24"/>
                <w:lang w:val="fr-FR"/>
              </w:rPr>
              <w:lastRenderedPageBreak/>
              <w:t>Réserves et déclarations interprétatives</w:t>
            </w:r>
          </w:p>
          <w:p w:rsidR="00B34E94" w:rsidRPr="0024373B" w:rsidRDefault="00B34E94" w:rsidP="007D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160" w:type="dxa"/>
            <w:tcBorders>
              <w:left w:val="nil"/>
            </w:tcBorders>
          </w:tcPr>
          <w:p w:rsidR="00B34E94" w:rsidRPr="0024373B" w:rsidRDefault="0081353A" w:rsidP="008461EA">
            <w:pPr>
              <w:pStyle w:val="Default"/>
              <w:numPr>
                <w:ilvl w:val="0"/>
                <w:numId w:val="27"/>
              </w:numPr>
              <w:ind w:right="22"/>
              <w:rPr>
                <w:rFonts w:ascii="Arial" w:hAnsi="Arial" w:cs="Arial"/>
                <w:lang w:val="en-GB"/>
              </w:rPr>
            </w:pPr>
            <w:r w:rsidRPr="0081353A">
              <w:rPr>
                <w:rFonts w:ascii="Arial" w:hAnsi="Arial" w:cs="Arial"/>
                <w:lang w:val="fr-FR"/>
              </w:rPr>
              <w:t>L</w:t>
            </w:r>
            <w:r w:rsidR="00627396" w:rsidRPr="0081353A">
              <w:rPr>
                <w:rFonts w:ascii="Arial" w:hAnsi="Arial" w:cs="Arial"/>
                <w:lang w:val="fr-FR"/>
              </w:rPr>
              <w:t xml:space="preserve">es Etats </w:t>
            </w:r>
            <w:r w:rsidR="00865CE9">
              <w:rPr>
                <w:rFonts w:ascii="Arial" w:hAnsi="Arial" w:cs="Arial"/>
                <w:lang w:val="fr-FR"/>
              </w:rPr>
              <w:t xml:space="preserve">veulent parfois </w:t>
            </w:r>
            <w:bookmarkStart w:id="0" w:name="_GoBack"/>
            <w:bookmarkEnd w:id="0"/>
            <w:r w:rsidR="00627396" w:rsidRPr="0081353A">
              <w:rPr>
                <w:rFonts w:ascii="Arial" w:hAnsi="Arial" w:cs="Arial"/>
                <w:lang w:val="fr-FR"/>
              </w:rPr>
              <w:t xml:space="preserve">adapter l’application du traité au moyen de </w:t>
            </w:r>
            <w:r w:rsidR="00627396" w:rsidRPr="0081353A">
              <w:rPr>
                <w:rFonts w:ascii="Arial" w:hAnsi="Arial" w:cs="Arial"/>
                <w:b/>
                <w:lang w:val="fr-FR"/>
              </w:rPr>
              <w:t>déclarations interprétatives ou de réserves.</w:t>
            </w:r>
            <w:r w:rsidR="0024373B" w:rsidRPr="0024373B">
              <w:rPr>
                <w:rFonts w:ascii="Arial" w:hAnsi="Arial" w:cs="Arial"/>
                <w:lang w:val="en-GB"/>
              </w:rPr>
              <w:t xml:space="preserve"> </w:t>
            </w:r>
            <w:r w:rsidR="00627396" w:rsidRPr="0081353A">
              <w:rPr>
                <w:rFonts w:ascii="Arial" w:hAnsi="Arial" w:cs="Arial"/>
                <w:lang w:val="fr-FR"/>
              </w:rPr>
              <w:t>Pareille intention peut être exprimée par l’Etat, au moment de la signature, de la ratification ou de l'</w:t>
            </w:r>
            <w:r w:rsidR="0025302C" w:rsidRPr="0081353A">
              <w:rPr>
                <w:rFonts w:ascii="Arial" w:hAnsi="Arial" w:cs="Arial"/>
                <w:lang w:val="fr-FR"/>
              </w:rPr>
              <w:t>adhésion</w:t>
            </w:r>
            <w:r w:rsidR="00627396" w:rsidRPr="0081353A">
              <w:rPr>
                <w:rFonts w:ascii="Arial" w:hAnsi="Arial" w:cs="Arial"/>
                <w:lang w:val="fr-FR"/>
              </w:rPr>
              <w:t>.</w:t>
            </w:r>
            <w:r w:rsidR="00B34E94" w:rsidRPr="0024373B">
              <w:rPr>
                <w:rFonts w:ascii="Arial" w:hAnsi="Arial" w:cs="Arial"/>
                <w:lang w:val="en-GB"/>
              </w:rPr>
              <w:t xml:space="preserve"> </w:t>
            </w:r>
          </w:p>
          <w:p w:rsidR="00B34E94" w:rsidRPr="0024373B" w:rsidRDefault="00627396" w:rsidP="008461EA">
            <w:pPr>
              <w:pStyle w:val="Default"/>
              <w:numPr>
                <w:ilvl w:val="0"/>
                <w:numId w:val="27"/>
              </w:numPr>
              <w:ind w:right="22"/>
              <w:rPr>
                <w:rFonts w:ascii="Arial" w:hAnsi="Arial" w:cs="Arial"/>
                <w:lang w:val="en-GB"/>
              </w:rPr>
            </w:pPr>
            <w:r w:rsidRPr="0081353A">
              <w:rPr>
                <w:rFonts w:ascii="Arial" w:hAnsi="Arial" w:cs="Arial"/>
                <w:lang w:val="fr-FR"/>
              </w:rPr>
              <w:t>La Convention de Vienne sur le droit des traités définit « la réserve » comme « une déclaration unilatérale, quel que soit son libellé ou sa désignation, faite par un Etat quand il signe, ratifie, accepte ou approuve un traité ou y adhère, par laquelle il vise à exclure ou à modifier l'effet juridique de certaines dispositions du traité dans leur application à cet Etat ».</w:t>
            </w:r>
            <w:r w:rsidR="00B34E94" w:rsidRPr="0024373B">
              <w:rPr>
                <w:rFonts w:ascii="Arial" w:hAnsi="Arial" w:cs="Arial"/>
                <w:lang w:val="en-GB"/>
              </w:rPr>
              <w:t xml:space="preserve"> </w:t>
            </w:r>
            <w:r w:rsidRPr="0081353A">
              <w:rPr>
                <w:rFonts w:ascii="Arial" w:hAnsi="Arial" w:cs="Arial"/>
                <w:lang w:val="fr-FR"/>
              </w:rPr>
              <w:t>Les réserves ne peuvent être incompatibles avec l'objet et le but du traité.</w:t>
            </w:r>
            <w:r w:rsidR="00B34E94" w:rsidRPr="0024373B">
              <w:rPr>
                <w:rFonts w:ascii="Arial" w:hAnsi="Arial" w:cs="Arial"/>
                <w:lang w:val="en-GB"/>
              </w:rPr>
              <w:t xml:space="preserve"> </w:t>
            </w:r>
          </w:p>
          <w:p w:rsidR="00B34E94" w:rsidRPr="0024373B" w:rsidRDefault="00DE5FFC" w:rsidP="008461EA">
            <w:pPr>
              <w:pStyle w:val="Default"/>
              <w:numPr>
                <w:ilvl w:val="0"/>
                <w:numId w:val="27"/>
              </w:numPr>
              <w:ind w:right="22"/>
              <w:rPr>
                <w:rFonts w:ascii="Arial" w:hAnsi="Arial" w:cs="Arial"/>
                <w:lang w:val="en-GB"/>
              </w:rPr>
            </w:pPr>
            <w:r w:rsidRPr="0081353A">
              <w:rPr>
                <w:rFonts w:ascii="Arial" w:hAnsi="Arial" w:cs="Arial"/>
                <w:lang w:val="fr-FR"/>
              </w:rPr>
              <w:t>Les réserves diminuent l’étendue de la protection qu’assure la Convention et leur portée doit être</w:t>
            </w:r>
            <w:r w:rsidR="0081353A" w:rsidRPr="0081353A">
              <w:rPr>
                <w:rFonts w:ascii="Arial" w:hAnsi="Arial" w:cs="Arial"/>
                <w:lang w:val="fr-FR"/>
              </w:rPr>
              <w:t xml:space="preserve"> restreinte au maximum</w:t>
            </w:r>
            <w:r w:rsidRPr="0081353A">
              <w:rPr>
                <w:rFonts w:ascii="Arial" w:hAnsi="Arial" w:cs="Arial"/>
                <w:lang w:val="fr-FR"/>
              </w:rPr>
              <w:t>.</w:t>
            </w:r>
            <w:r w:rsidR="0024373B" w:rsidRPr="0024373B">
              <w:rPr>
                <w:rFonts w:ascii="Arial" w:hAnsi="Arial" w:cs="Arial"/>
                <w:lang w:val="en-GB"/>
              </w:rPr>
              <w:t xml:space="preserve"> </w:t>
            </w:r>
            <w:r w:rsidRPr="0081353A">
              <w:rPr>
                <w:rFonts w:ascii="Arial" w:hAnsi="Arial" w:cs="Arial"/>
                <w:lang w:val="fr-FR"/>
              </w:rPr>
              <w:t>Les réserves peuvent être retirées par l’Etat partie et mises en cause par d'autres Etats parties.</w:t>
            </w:r>
            <w:r w:rsidR="00B34E94" w:rsidRPr="0024373B"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B34E94" w:rsidRPr="0024373B" w:rsidTr="00572110">
        <w:tc>
          <w:tcPr>
            <w:tcW w:w="2448" w:type="dxa"/>
            <w:tcBorders>
              <w:right w:val="nil"/>
            </w:tcBorders>
            <w:shd w:val="clear" w:color="auto" w:fill="C6D9F1" w:themeFill="text2" w:themeFillTint="33"/>
          </w:tcPr>
          <w:p w:rsidR="00B34E94" w:rsidRPr="0037081A" w:rsidRDefault="0037081A" w:rsidP="008461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val="en-GB"/>
              </w:rPr>
            </w:pPr>
            <w:r w:rsidRPr="0081353A">
              <w:rPr>
                <w:rFonts w:ascii="Arial" w:hAnsi="Arial"/>
                <w:bCs/>
                <w:sz w:val="24"/>
                <w:szCs w:val="24"/>
                <w:lang w:val="fr-FR"/>
              </w:rPr>
              <w:t>Incorporation de la Convention dans les systèmes nationaux</w:t>
            </w:r>
          </w:p>
          <w:p w:rsidR="00B34E94" w:rsidRPr="0037081A" w:rsidRDefault="00B34E94" w:rsidP="007D4B68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160" w:type="dxa"/>
            <w:tcBorders>
              <w:left w:val="nil"/>
            </w:tcBorders>
            <w:shd w:val="clear" w:color="auto" w:fill="C6D9F1" w:themeFill="text2" w:themeFillTint="33"/>
          </w:tcPr>
          <w:p w:rsidR="00B34E94" w:rsidRPr="0037081A" w:rsidRDefault="0037081A" w:rsidP="008461EA">
            <w:pPr>
              <w:shd w:val="clear" w:color="auto" w:fill="F8FCFF"/>
              <w:tabs>
                <w:tab w:val="left" w:pos="759"/>
              </w:tabs>
              <w:spacing w:after="0" w:line="240" w:lineRule="auto"/>
              <w:ind w:right="22"/>
              <w:rPr>
                <w:rFonts w:ascii="Arial" w:hAnsi="Arial"/>
                <w:color w:val="000000"/>
                <w:sz w:val="24"/>
                <w:szCs w:val="24"/>
                <w:lang w:val="en-GB"/>
              </w:rPr>
            </w:pPr>
            <w:r w:rsidRPr="0081353A">
              <w:rPr>
                <w:rFonts w:ascii="Arial" w:hAnsi="Arial"/>
                <w:color w:val="000000"/>
                <w:sz w:val="24"/>
                <w:szCs w:val="24"/>
                <w:lang w:val="fr-FR"/>
              </w:rPr>
              <w:t>Il existe deux approches principales :</w:t>
            </w:r>
            <w:r w:rsidR="00B34E94" w:rsidRPr="0037081A">
              <w:rPr>
                <w:rFonts w:ascii="Arial" w:hAnsi="Arial"/>
                <w:color w:val="000000"/>
                <w:sz w:val="24"/>
                <w:szCs w:val="24"/>
                <w:lang w:val="en-GB"/>
              </w:rPr>
              <w:t xml:space="preserve"> </w:t>
            </w:r>
            <w:r w:rsidRPr="0081353A">
              <w:rPr>
                <w:rFonts w:ascii="Arial" w:hAnsi="Arial"/>
                <w:color w:val="000000"/>
                <w:sz w:val="24"/>
                <w:szCs w:val="24"/>
                <w:lang w:val="fr-FR"/>
              </w:rPr>
              <w:t>d'une part</w:t>
            </w:r>
            <w:r w:rsidR="0081353A" w:rsidRPr="0081353A">
              <w:rPr>
                <w:rFonts w:ascii="Arial" w:hAnsi="Arial"/>
                <w:color w:val="000000"/>
                <w:sz w:val="24"/>
                <w:szCs w:val="24"/>
                <w:lang w:val="fr-FR"/>
              </w:rPr>
              <w:t xml:space="preserve"> les pays « monistes », d’autre part</w:t>
            </w:r>
            <w:r w:rsidRPr="0081353A">
              <w:rPr>
                <w:rFonts w:ascii="Arial" w:hAnsi="Arial"/>
                <w:color w:val="000000"/>
                <w:sz w:val="24"/>
                <w:szCs w:val="24"/>
                <w:lang w:val="fr-FR"/>
              </w:rPr>
              <w:t xml:space="preserve"> les « dualistes ».</w:t>
            </w:r>
          </w:p>
          <w:p w:rsidR="00B34E94" w:rsidRPr="0037081A" w:rsidRDefault="0037081A" w:rsidP="008461EA">
            <w:pPr>
              <w:pStyle w:val="Paragraphedeliste"/>
              <w:numPr>
                <w:ilvl w:val="0"/>
                <w:numId w:val="26"/>
              </w:numPr>
              <w:shd w:val="clear" w:color="auto" w:fill="F8FCFF"/>
              <w:tabs>
                <w:tab w:val="left" w:pos="759"/>
              </w:tabs>
              <w:spacing w:after="0" w:line="240" w:lineRule="auto"/>
              <w:ind w:right="22"/>
              <w:rPr>
                <w:rFonts w:ascii="Arial" w:hAnsi="Arial"/>
                <w:sz w:val="24"/>
                <w:szCs w:val="24"/>
                <w:lang w:val="en-GB"/>
              </w:rPr>
            </w:pPr>
            <w:r w:rsidRPr="0081353A">
              <w:rPr>
                <w:rFonts w:ascii="Arial" w:hAnsi="Arial"/>
                <w:b/>
                <w:sz w:val="24"/>
                <w:lang w:val="fr-FR"/>
              </w:rPr>
              <w:t>Les p</w:t>
            </w:r>
            <w:r w:rsidRPr="0081353A">
              <w:rPr>
                <w:rFonts w:ascii="Arial" w:hAnsi="Arial"/>
                <w:b/>
                <w:sz w:val="24"/>
                <w:szCs w:val="24"/>
                <w:lang w:val="fr-FR"/>
              </w:rPr>
              <w:t>ays monistes :</w:t>
            </w:r>
            <w:r w:rsidR="00B34E94" w:rsidRPr="0037081A">
              <w:rPr>
                <w:rFonts w:ascii="Arial" w:hAnsi="Arial"/>
                <w:sz w:val="24"/>
                <w:szCs w:val="24"/>
                <w:lang w:val="en-GB"/>
              </w:rPr>
              <w:t xml:space="preserve"> </w:t>
            </w:r>
            <w:r w:rsidRPr="0081353A">
              <w:rPr>
                <w:rFonts w:ascii="Arial" w:hAnsi="Arial"/>
                <w:sz w:val="24"/>
                <w:szCs w:val="24"/>
                <w:lang w:val="fr-FR"/>
              </w:rPr>
              <w:t>considèrent que le droit national et le droit international forment un seul système juridique.</w:t>
            </w:r>
            <w:r w:rsidR="0024373B" w:rsidRPr="0037081A">
              <w:rPr>
                <w:rFonts w:ascii="Arial" w:hAnsi="Arial"/>
                <w:sz w:val="24"/>
                <w:szCs w:val="24"/>
                <w:lang w:val="en-GB"/>
              </w:rPr>
              <w:t xml:space="preserve"> </w:t>
            </w:r>
            <w:r w:rsidRPr="0081353A">
              <w:rPr>
                <w:rFonts w:ascii="Arial" w:hAnsi="Arial"/>
                <w:sz w:val="24"/>
                <w:szCs w:val="24"/>
                <w:lang w:val="fr-FR"/>
              </w:rPr>
              <w:t>Le droit international n’a pas besoin d</w:t>
            </w:r>
            <w:r w:rsidR="0081353A" w:rsidRPr="0081353A">
              <w:rPr>
                <w:rFonts w:ascii="Arial" w:hAnsi="Arial"/>
                <w:sz w:val="24"/>
                <w:szCs w:val="24"/>
                <w:lang w:val="fr-FR"/>
              </w:rPr>
              <w:t>’être transposé</w:t>
            </w:r>
            <w:r w:rsidRPr="0081353A">
              <w:rPr>
                <w:rFonts w:ascii="Arial" w:hAnsi="Arial"/>
                <w:sz w:val="24"/>
                <w:szCs w:val="24"/>
                <w:lang w:val="fr-FR"/>
              </w:rPr>
              <w:t xml:space="preserve"> en droit national pour que le traité </w:t>
            </w:r>
            <w:r w:rsidR="0081353A" w:rsidRPr="0081353A">
              <w:rPr>
                <w:rFonts w:ascii="Arial" w:hAnsi="Arial"/>
                <w:sz w:val="24"/>
                <w:szCs w:val="24"/>
                <w:lang w:val="fr-FR"/>
              </w:rPr>
              <w:t>soit</w:t>
            </w:r>
            <w:r w:rsidRPr="0081353A">
              <w:rPr>
                <w:rFonts w:ascii="Arial" w:hAnsi="Arial"/>
                <w:sz w:val="24"/>
                <w:szCs w:val="24"/>
                <w:lang w:val="fr-FR"/>
              </w:rPr>
              <w:t xml:space="preserve"> applicable.</w:t>
            </w:r>
            <w:r w:rsidR="0024373B" w:rsidRPr="0037081A">
              <w:rPr>
                <w:rFonts w:ascii="Arial" w:hAnsi="Arial"/>
                <w:sz w:val="24"/>
                <w:szCs w:val="24"/>
                <w:lang w:val="en-GB"/>
              </w:rPr>
              <w:t xml:space="preserve"> </w:t>
            </w:r>
            <w:r w:rsidRPr="0081353A">
              <w:rPr>
                <w:rFonts w:ascii="Arial" w:hAnsi="Arial"/>
                <w:sz w:val="24"/>
                <w:szCs w:val="24"/>
                <w:lang w:val="fr-FR"/>
              </w:rPr>
              <w:t>Le fait de ratifier un instrument d</w:t>
            </w:r>
            <w:r w:rsidR="008461EA">
              <w:rPr>
                <w:rFonts w:ascii="Arial" w:hAnsi="Arial"/>
                <w:sz w:val="24"/>
                <w:szCs w:val="24"/>
                <w:lang w:val="fr-FR"/>
              </w:rPr>
              <w:t>e droit international incorpore i</w:t>
            </w:r>
            <w:r w:rsidRPr="0081353A">
              <w:rPr>
                <w:rFonts w:ascii="Arial" w:hAnsi="Arial"/>
                <w:sz w:val="24"/>
                <w:szCs w:val="24"/>
                <w:lang w:val="fr-FR"/>
              </w:rPr>
              <w:t>mmédiatement ce droit dans le droit national.</w:t>
            </w:r>
            <w:r w:rsidR="0024373B" w:rsidRPr="0037081A">
              <w:rPr>
                <w:rFonts w:ascii="Arial" w:hAnsi="Arial"/>
                <w:sz w:val="24"/>
                <w:szCs w:val="24"/>
                <w:lang w:val="en-GB"/>
              </w:rPr>
              <w:t xml:space="preserve"> </w:t>
            </w:r>
            <w:r w:rsidRPr="0081353A">
              <w:rPr>
                <w:rFonts w:ascii="Arial" w:hAnsi="Arial"/>
                <w:sz w:val="24"/>
                <w:szCs w:val="24"/>
                <w:lang w:val="fr-FR"/>
              </w:rPr>
              <w:t>Le droit international peut être directement appliqué par un juge national et peut être directement invoqué par les citoyens, comme s’il s’agissait du droit national.</w:t>
            </w:r>
          </w:p>
          <w:p w:rsidR="00B34E94" w:rsidRPr="0037081A" w:rsidRDefault="0037081A" w:rsidP="008461EA">
            <w:pPr>
              <w:pStyle w:val="Paragraphedeliste"/>
              <w:numPr>
                <w:ilvl w:val="0"/>
                <w:numId w:val="26"/>
              </w:numPr>
              <w:shd w:val="clear" w:color="auto" w:fill="F8FCFF"/>
              <w:tabs>
                <w:tab w:val="left" w:pos="759"/>
              </w:tabs>
              <w:spacing w:after="0" w:line="240" w:lineRule="auto"/>
              <w:ind w:right="22"/>
              <w:rPr>
                <w:rFonts w:ascii="Arial" w:hAnsi="Arial"/>
                <w:color w:val="000000"/>
                <w:sz w:val="24"/>
                <w:szCs w:val="24"/>
                <w:lang w:val="en-GB"/>
              </w:rPr>
            </w:pPr>
            <w:r w:rsidRPr="0081353A">
              <w:rPr>
                <w:rFonts w:ascii="Arial" w:hAnsi="Arial"/>
                <w:b/>
                <w:lang w:val="fr-FR"/>
              </w:rPr>
              <w:t>Les pays dualistes :</w:t>
            </w:r>
            <w:r w:rsidR="00B34E94" w:rsidRPr="0037081A">
              <w:rPr>
                <w:rFonts w:ascii="Arial" w:hAnsi="Arial"/>
                <w:lang w:val="en-GB"/>
              </w:rPr>
              <w:t xml:space="preserve"> </w:t>
            </w:r>
            <w:r w:rsidRPr="0081353A">
              <w:rPr>
                <w:rFonts w:ascii="Arial" w:hAnsi="Arial"/>
                <w:lang w:val="fr-FR"/>
              </w:rPr>
              <w:t xml:space="preserve">le droit international et le droit national </w:t>
            </w:r>
            <w:r w:rsidR="0081353A" w:rsidRPr="0081353A">
              <w:rPr>
                <w:rFonts w:ascii="Arial" w:hAnsi="Arial"/>
                <w:lang w:val="fr-FR"/>
              </w:rPr>
              <w:t xml:space="preserve">appartiennent à deux domaines </w:t>
            </w:r>
            <w:r w:rsidRPr="0081353A">
              <w:rPr>
                <w:rFonts w:ascii="Arial" w:hAnsi="Arial"/>
                <w:lang w:val="fr-FR"/>
              </w:rPr>
              <w:t>séparé</w:t>
            </w:r>
            <w:r w:rsidR="0081353A" w:rsidRPr="0081353A">
              <w:rPr>
                <w:rFonts w:ascii="Arial" w:hAnsi="Arial"/>
                <w:lang w:val="fr-FR"/>
              </w:rPr>
              <w:t>s, ce qui nécessite la transposition du premier dans le second</w:t>
            </w:r>
            <w:r w:rsidRPr="0081353A">
              <w:rPr>
                <w:rFonts w:ascii="Arial" w:hAnsi="Arial"/>
                <w:lang w:val="fr-FR"/>
              </w:rPr>
              <w:t>.</w:t>
            </w:r>
            <w:r w:rsidR="0024373B" w:rsidRPr="0037081A">
              <w:rPr>
                <w:rFonts w:ascii="Arial" w:hAnsi="Arial"/>
                <w:lang w:val="en-GB"/>
              </w:rPr>
              <w:t xml:space="preserve"> </w:t>
            </w:r>
            <w:r w:rsidR="0081353A" w:rsidRPr="0081353A">
              <w:rPr>
                <w:rFonts w:ascii="Arial" w:hAnsi="Arial"/>
                <w:lang w:val="fr-FR"/>
              </w:rPr>
              <w:t>Si le pays ne transpose</w:t>
            </w:r>
            <w:r w:rsidRPr="0081353A">
              <w:rPr>
                <w:rFonts w:ascii="Arial" w:hAnsi="Arial"/>
                <w:lang w:val="fr-FR"/>
              </w:rPr>
              <w:t xml:space="preserve"> pas le tr</w:t>
            </w:r>
            <w:r w:rsidR="0081353A" w:rsidRPr="0081353A">
              <w:rPr>
                <w:rFonts w:ascii="Arial" w:hAnsi="Arial"/>
                <w:lang w:val="fr-FR"/>
              </w:rPr>
              <w:t>aité, par négligence ou parce</w:t>
            </w:r>
            <w:r w:rsidRPr="0081353A">
              <w:rPr>
                <w:rFonts w:ascii="Arial" w:hAnsi="Arial"/>
                <w:lang w:val="fr-FR"/>
              </w:rPr>
              <w:t xml:space="preserve"> que le véritable objectif de la ratification/</w:t>
            </w:r>
            <w:r w:rsidR="0025302C" w:rsidRPr="0081353A">
              <w:rPr>
                <w:rFonts w:ascii="Arial" w:hAnsi="Arial"/>
                <w:lang w:val="fr-FR"/>
              </w:rPr>
              <w:t>adhésion</w:t>
            </w:r>
            <w:r w:rsidRPr="0081353A">
              <w:rPr>
                <w:rFonts w:ascii="Arial" w:hAnsi="Arial"/>
                <w:lang w:val="fr-FR"/>
              </w:rPr>
              <w:t xml:space="preserve"> au traité était p</w:t>
            </w:r>
            <w:r w:rsidR="0081353A" w:rsidRPr="0081353A">
              <w:rPr>
                <w:rFonts w:ascii="Arial" w:hAnsi="Arial"/>
                <w:lang w:val="fr-FR"/>
              </w:rPr>
              <w:t>urement politique, la mise en œuvre</w:t>
            </w:r>
            <w:r w:rsidRPr="0081353A">
              <w:rPr>
                <w:rFonts w:ascii="Arial" w:hAnsi="Arial"/>
                <w:lang w:val="fr-FR"/>
              </w:rPr>
              <w:t xml:space="preserve"> du traité reste </w:t>
            </w:r>
            <w:r w:rsidR="0081353A" w:rsidRPr="0081353A">
              <w:rPr>
                <w:rFonts w:ascii="Arial" w:hAnsi="Arial"/>
                <w:lang w:val="fr-FR"/>
              </w:rPr>
              <w:t xml:space="preserve">alors </w:t>
            </w:r>
            <w:r w:rsidRPr="0081353A">
              <w:rPr>
                <w:rFonts w:ascii="Arial" w:hAnsi="Arial"/>
                <w:lang w:val="fr-FR"/>
              </w:rPr>
              <w:t>incertain</w:t>
            </w:r>
            <w:r w:rsidR="0081353A" w:rsidRPr="0081353A">
              <w:rPr>
                <w:rFonts w:ascii="Arial" w:hAnsi="Arial"/>
                <w:lang w:val="fr-FR"/>
              </w:rPr>
              <w:t>e</w:t>
            </w:r>
            <w:r w:rsidRPr="0081353A">
              <w:rPr>
                <w:rFonts w:ascii="Arial" w:hAnsi="Arial"/>
                <w:lang w:val="fr-FR"/>
              </w:rPr>
              <w:t>.</w:t>
            </w:r>
            <w:r w:rsidR="0024373B" w:rsidRPr="0037081A">
              <w:rPr>
                <w:rFonts w:ascii="Arial" w:hAnsi="Arial"/>
                <w:lang w:val="en-GB"/>
              </w:rPr>
              <w:t xml:space="preserve"> </w:t>
            </w:r>
            <w:r w:rsidRPr="0081353A">
              <w:rPr>
                <w:rFonts w:ascii="Arial" w:hAnsi="Arial"/>
                <w:color w:val="000000"/>
                <w:lang w:val="fr-FR"/>
              </w:rPr>
              <w:t>La complète incorporation survient grâce à l’adoption d’une loi à laquelle la Convention est annexée.</w:t>
            </w:r>
            <w:r w:rsidR="00B34E94" w:rsidRPr="0037081A">
              <w:rPr>
                <w:rFonts w:ascii="Arial" w:hAnsi="Arial"/>
                <w:color w:val="000000"/>
                <w:lang w:val="en-GB"/>
              </w:rPr>
              <w:t xml:space="preserve"> </w:t>
            </w:r>
          </w:p>
        </w:tc>
      </w:tr>
    </w:tbl>
    <w:p w:rsidR="00B34E94" w:rsidRPr="0024373B" w:rsidRDefault="00B34E94" w:rsidP="00722F74">
      <w:pPr>
        <w:autoSpaceDE w:val="0"/>
        <w:autoSpaceDN w:val="0"/>
        <w:adjustRightInd w:val="0"/>
        <w:spacing w:line="240" w:lineRule="atLeast"/>
        <w:ind w:left="720"/>
        <w:rPr>
          <w:rFonts w:ascii="Arial" w:hAnsi="Arial"/>
          <w:bCs/>
          <w:sz w:val="24"/>
          <w:szCs w:val="24"/>
          <w:lang w:val="en-GB"/>
        </w:rPr>
      </w:pPr>
    </w:p>
    <w:sectPr w:rsidR="00B34E94" w:rsidRPr="0024373B" w:rsidSect="00AC5FEA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08F" w:rsidRDefault="0079608F" w:rsidP="000421F7">
      <w:pPr>
        <w:spacing w:after="0" w:line="240" w:lineRule="auto"/>
      </w:pPr>
      <w:r>
        <w:separator/>
      </w:r>
    </w:p>
  </w:endnote>
  <w:endnote w:type="continuationSeparator" w:id="0">
    <w:p w:rsidR="0079608F" w:rsidRDefault="0079608F" w:rsidP="00042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08F" w:rsidRPr="008461EA" w:rsidRDefault="0079608F">
    <w:pPr>
      <w:pStyle w:val="Pieddepage"/>
      <w:rPr>
        <w:rFonts w:ascii="Arial" w:hAnsi="Arial"/>
        <w:lang w:val="fr-FR"/>
      </w:rPr>
    </w:pPr>
    <w:r w:rsidRPr="008461EA">
      <w:rPr>
        <w:rFonts w:ascii="Arial" w:hAnsi="Arial"/>
        <w:lang w:val="fr-FR"/>
      </w:rPr>
      <w:t xml:space="preserve">© 2012 </w:t>
    </w:r>
    <w:r w:rsidR="00572110" w:rsidRPr="008461EA">
      <w:rPr>
        <w:rFonts w:ascii="Arial" w:hAnsi="Arial"/>
        <w:lang w:val="fr-FR"/>
      </w:rPr>
      <w:t>Nations Unies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08F" w:rsidRDefault="0079608F" w:rsidP="000421F7">
      <w:pPr>
        <w:spacing w:after="0" w:line="240" w:lineRule="auto"/>
      </w:pPr>
      <w:r>
        <w:separator/>
      </w:r>
    </w:p>
  </w:footnote>
  <w:footnote w:type="continuationSeparator" w:id="0">
    <w:p w:rsidR="0079608F" w:rsidRDefault="0079608F" w:rsidP="00042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110" w:rsidRPr="00A70563" w:rsidRDefault="00572110" w:rsidP="00572110">
    <w:pPr>
      <w:pStyle w:val="En-tte"/>
      <w:tabs>
        <w:tab w:val="right" w:pos="10800"/>
      </w:tabs>
      <w:jc w:val="center"/>
      <w:rPr>
        <w:rFonts w:ascii="Arial" w:hAnsi="Arial"/>
        <w:i/>
        <w:iCs/>
        <w:sz w:val="20"/>
        <w:szCs w:val="20"/>
        <w:lang w:val="fr-FR"/>
      </w:rPr>
    </w:pPr>
    <w:r w:rsidRPr="00A70563">
      <w:rPr>
        <w:rFonts w:ascii="Arial" w:hAnsi="Arial"/>
        <w:iCs/>
        <w:sz w:val="20"/>
        <w:szCs w:val="20"/>
        <w:lang w:val="fr-FR"/>
      </w:rPr>
      <w:t xml:space="preserve">Module </w:t>
    </w:r>
    <w:r>
      <w:rPr>
        <w:rFonts w:ascii="Arial" w:hAnsi="Arial"/>
        <w:iCs/>
        <w:sz w:val="20"/>
        <w:szCs w:val="20"/>
        <w:lang w:val="fr-FR"/>
      </w:rPr>
      <w:t>3</w:t>
    </w:r>
    <w:r w:rsidRPr="00A70563">
      <w:rPr>
        <w:iCs/>
        <w:sz w:val="20"/>
        <w:szCs w:val="20"/>
        <w:lang w:val="fr-FR"/>
      </w:rPr>
      <w:tab/>
    </w:r>
    <w:r w:rsidRPr="00A70563">
      <w:rPr>
        <w:rFonts w:ascii="Arial" w:hAnsi="Arial"/>
        <w:iCs/>
        <w:sz w:val="20"/>
        <w:szCs w:val="20"/>
        <w:lang w:val="fr-FR"/>
      </w:rPr>
      <w:t>Convention relative aux droits des personnes handicapées</w:t>
    </w:r>
    <w:r>
      <w:rPr>
        <w:rFonts w:ascii="Arial" w:hAnsi="Arial"/>
        <w:iCs/>
        <w:sz w:val="20"/>
        <w:szCs w:val="20"/>
        <w:lang w:val="fr-FR"/>
      </w:rPr>
      <w:t xml:space="preserve"> : programme de formation</w:t>
    </w:r>
  </w:p>
  <w:p w:rsidR="0079608F" w:rsidRPr="008461EA" w:rsidRDefault="0079608F" w:rsidP="00572110">
    <w:pPr>
      <w:pStyle w:val="En-tte"/>
      <w:jc w:val="center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94E87"/>
    <w:multiLevelType w:val="hybridMultilevel"/>
    <w:tmpl w:val="8F3EE054"/>
    <w:lvl w:ilvl="0" w:tplc="040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700CAF"/>
    <w:multiLevelType w:val="hybridMultilevel"/>
    <w:tmpl w:val="7430DF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FC4974"/>
    <w:multiLevelType w:val="hybridMultilevel"/>
    <w:tmpl w:val="306AC2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5B0651"/>
    <w:multiLevelType w:val="hybridMultilevel"/>
    <w:tmpl w:val="2842DB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6C120A"/>
    <w:multiLevelType w:val="hybridMultilevel"/>
    <w:tmpl w:val="6E4231E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112B40"/>
    <w:multiLevelType w:val="hybridMultilevel"/>
    <w:tmpl w:val="7FEAD1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54772AB"/>
    <w:multiLevelType w:val="hybridMultilevel"/>
    <w:tmpl w:val="C01C9CA8"/>
    <w:lvl w:ilvl="0" w:tplc="9842C1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01E4DA2"/>
    <w:multiLevelType w:val="hybridMultilevel"/>
    <w:tmpl w:val="EA3234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3720972"/>
    <w:multiLevelType w:val="hybridMultilevel"/>
    <w:tmpl w:val="13CCD7EC"/>
    <w:lvl w:ilvl="0" w:tplc="2A3CC678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9E858B0"/>
    <w:multiLevelType w:val="hybridMultilevel"/>
    <w:tmpl w:val="1E5E5D08"/>
    <w:lvl w:ilvl="0" w:tplc="9842C1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AF81A23"/>
    <w:multiLevelType w:val="hybridMultilevel"/>
    <w:tmpl w:val="A30232B6"/>
    <w:lvl w:ilvl="0" w:tplc="0409000D">
      <w:start w:val="1"/>
      <w:numFmt w:val="bullet"/>
      <w:lvlText w:val=""/>
      <w:lvlJc w:val="left"/>
      <w:pPr>
        <w:ind w:left="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abstractNum w:abstractNumId="11" w15:restartNumberingAfterBreak="0">
    <w:nsid w:val="399A0473"/>
    <w:multiLevelType w:val="hybridMultilevel"/>
    <w:tmpl w:val="A01619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0D18B6"/>
    <w:multiLevelType w:val="hybridMultilevel"/>
    <w:tmpl w:val="4ED00F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6987D44"/>
    <w:multiLevelType w:val="hybridMultilevel"/>
    <w:tmpl w:val="CF988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92B29C2"/>
    <w:multiLevelType w:val="hybridMultilevel"/>
    <w:tmpl w:val="D584A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CC55AC3"/>
    <w:multiLevelType w:val="hybridMultilevel"/>
    <w:tmpl w:val="8E9A3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AC7152"/>
    <w:multiLevelType w:val="hybridMultilevel"/>
    <w:tmpl w:val="6748C4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E45B3C"/>
    <w:multiLevelType w:val="hybridMultilevel"/>
    <w:tmpl w:val="7C148AF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0048EE"/>
    <w:multiLevelType w:val="hybridMultilevel"/>
    <w:tmpl w:val="1FC8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C36036"/>
    <w:multiLevelType w:val="hybridMultilevel"/>
    <w:tmpl w:val="6BA4D9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53712D"/>
    <w:multiLevelType w:val="hybridMultilevel"/>
    <w:tmpl w:val="2DF0D9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8D77E7"/>
    <w:multiLevelType w:val="hybridMultilevel"/>
    <w:tmpl w:val="82C68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6AD1347B"/>
    <w:multiLevelType w:val="hybridMultilevel"/>
    <w:tmpl w:val="74BE36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C8E4603"/>
    <w:multiLevelType w:val="hybridMultilevel"/>
    <w:tmpl w:val="FB54529E"/>
    <w:lvl w:ilvl="0" w:tplc="0409000D">
      <w:start w:val="1"/>
      <w:numFmt w:val="bullet"/>
      <w:lvlText w:val=""/>
      <w:lvlJc w:val="left"/>
      <w:pPr>
        <w:ind w:left="39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8" w:hanging="360"/>
      </w:pPr>
      <w:rPr>
        <w:rFonts w:ascii="Wingdings" w:hAnsi="Wingdings" w:hint="default"/>
      </w:rPr>
    </w:lvl>
  </w:abstractNum>
  <w:abstractNum w:abstractNumId="24" w15:restartNumberingAfterBreak="0">
    <w:nsid w:val="6C961378"/>
    <w:multiLevelType w:val="hybridMultilevel"/>
    <w:tmpl w:val="3CA60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D063D18"/>
    <w:multiLevelType w:val="hybridMultilevel"/>
    <w:tmpl w:val="02C805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F07242"/>
    <w:multiLevelType w:val="hybridMultilevel"/>
    <w:tmpl w:val="4F26CBE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4A26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5AA8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004A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1031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748D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0063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1842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1811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E117E0"/>
    <w:multiLevelType w:val="hybridMultilevel"/>
    <w:tmpl w:val="26D87692"/>
    <w:lvl w:ilvl="0" w:tplc="0409000D">
      <w:start w:val="1"/>
      <w:numFmt w:val="bullet"/>
      <w:lvlText w:val=""/>
      <w:lvlJc w:val="left"/>
      <w:pPr>
        <w:ind w:left="37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27"/>
  </w:num>
  <w:num w:numId="4">
    <w:abstractNumId w:val="26"/>
  </w:num>
  <w:num w:numId="5">
    <w:abstractNumId w:val="4"/>
  </w:num>
  <w:num w:numId="6">
    <w:abstractNumId w:val="19"/>
  </w:num>
  <w:num w:numId="7">
    <w:abstractNumId w:val="1"/>
  </w:num>
  <w:num w:numId="8">
    <w:abstractNumId w:val="25"/>
  </w:num>
  <w:num w:numId="9">
    <w:abstractNumId w:val="12"/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5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7"/>
  </w:num>
  <w:num w:numId="24">
    <w:abstractNumId w:val="20"/>
  </w:num>
  <w:num w:numId="25">
    <w:abstractNumId w:val="22"/>
  </w:num>
  <w:num w:numId="26">
    <w:abstractNumId w:val="23"/>
  </w:num>
  <w:num w:numId="27">
    <w:abstractNumId w:val="18"/>
  </w:num>
  <w:num w:numId="28">
    <w:abstractNumId w:val="10"/>
  </w:num>
  <w:num w:numId="2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592"/>
    <w:rsid w:val="00006192"/>
    <w:rsid w:val="000219EE"/>
    <w:rsid w:val="00025A9F"/>
    <w:rsid w:val="00026C4D"/>
    <w:rsid w:val="000421F7"/>
    <w:rsid w:val="00055C48"/>
    <w:rsid w:val="00060FDE"/>
    <w:rsid w:val="00072BAA"/>
    <w:rsid w:val="00090AE4"/>
    <w:rsid w:val="000914A3"/>
    <w:rsid w:val="000A0E25"/>
    <w:rsid w:val="000A2764"/>
    <w:rsid w:val="000A2D89"/>
    <w:rsid w:val="000A4035"/>
    <w:rsid w:val="000A48D2"/>
    <w:rsid w:val="000B5AFB"/>
    <w:rsid w:val="000C153D"/>
    <w:rsid w:val="000C2917"/>
    <w:rsid w:val="000E31FA"/>
    <w:rsid w:val="000F5F60"/>
    <w:rsid w:val="001067E4"/>
    <w:rsid w:val="00120203"/>
    <w:rsid w:val="001232FE"/>
    <w:rsid w:val="00123E14"/>
    <w:rsid w:val="00126BD1"/>
    <w:rsid w:val="00133D9F"/>
    <w:rsid w:val="00141B94"/>
    <w:rsid w:val="001515B1"/>
    <w:rsid w:val="001525AE"/>
    <w:rsid w:val="001727A6"/>
    <w:rsid w:val="001748D7"/>
    <w:rsid w:val="00181780"/>
    <w:rsid w:val="00181B20"/>
    <w:rsid w:val="00183DD4"/>
    <w:rsid w:val="00194FCB"/>
    <w:rsid w:val="001A470F"/>
    <w:rsid w:val="001B326D"/>
    <w:rsid w:val="001B4316"/>
    <w:rsid w:val="001B4C2D"/>
    <w:rsid w:val="001B7642"/>
    <w:rsid w:val="001C133F"/>
    <w:rsid w:val="001C6774"/>
    <w:rsid w:val="001C7669"/>
    <w:rsid w:val="001D154F"/>
    <w:rsid w:val="001D3CFA"/>
    <w:rsid w:val="001D5E5A"/>
    <w:rsid w:val="001D6392"/>
    <w:rsid w:val="001E6386"/>
    <w:rsid w:val="001F1D1A"/>
    <w:rsid w:val="001F23CD"/>
    <w:rsid w:val="002039C2"/>
    <w:rsid w:val="00216BAD"/>
    <w:rsid w:val="002269AE"/>
    <w:rsid w:val="00226A70"/>
    <w:rsid w:val="0024373B"/>
    <w:rsid w:val="0025302C"/>
    <w:rsid w:val="0026207F"/>
    <w:rsid w:val="00262A64"/>
    <w:rsid w:val="00264202"/>
    <w:rsid w:val="00267991"/>
    <w:rsid w:val="00285E43"/>
    <w:rsid w:val="0028607C"/>
    <w:rsid w:val="002901F9"/>
    <w:rsid w:val="002A4C04"/>
    <w:rsid w:val="002B616F"/>
    <w:rsid w:val="002E010E"/>
    <w:rsid w:val="002E4592"/>
    <w:rsid w:val="002F1BAA"/>
    <w:rsid w:val="002F4987"/>
    <w:rsid w:val="002F708B"/>
    <w:rsid w:val="00301603"/>
    <w:rsid w:val="00333622"/>
    <w:rsid w:val="0033371A"/>
    <w:rsid w:val="00335D0B"/>
    <w:rsid w:val="00343A7C"/>
    <w:rsid w:val="0034543A"/>
    <w:rsid w:val="0035231C"/>
    <w:rsid w:val="00354F38"/>
    <w:rsid w:val="0037081A"/>
    <w:rsid w:val="003759E8"/>
    <w:rsid w:val="00383AAA"/>
    <w:rsid w:val="0039073F"/>
    <w:rsid w:val="003B5599"/>
    <w:rsid w:val="003B79E5"/>
    <w:rsid w:val="003C52B9"/>
    <w:rsid w:val="003E0AF6"/>
    <w:rsid w:val="003E2689"/>
    <w:rsid w:val="003E4E79"/>
    <w:rsid w:val="003E5753"/>
    <w:rsid w:val="003E640C"/>
    <w:rsid w:val="003F7F5C"/>
    <w:rsid w:val="00401848"/>
    <w:rsid w:val="00416A92"/>
    <w:rsid w:val="00424FF0"/>
    <w:rsid w:val="0042725E"/>
    <w:rsid w:val="00427C3F"/>
    <w:rsid w:val="004303E5"/>
    <w:rsid w:val="004460C5"/>
    <w:rsid w:val="00452E25"/>
    <w:rsid w:val="00455619"/>
    <w:rsid w:val="00456AF9"/>
    <w:rsid w:val="00461051"/>
    <w:rsid w:val="0046304C"/>
    <w:rsid w:val="004769AF"/>
    <w:rsid w:val="0048050A"/>
    <w:rsid w:val="00480876"/>
    <w:rsid w:val="00492588"/>
    <w:rsid w:val="004A682E"/>
    <w:rsid w:val="004A78E4"/>
    <w:rsid w:val="004B0221"/>
    <w:rsid w:val="004C3123"/>
    <w:rsid w:val="004C3883"/>
    <w:rsid w:val="004D730B"/>
    <w:rsid w:val="004E085C"/>
    <w:rsid w:val="004E35F1"/>
    <w:rsid w:val="004E45F7"/>
    <w:rsid w:val="004E70C8"/>
    <w:rsid w:val="004F4332"/>
    <w:rsid w:val="004F596E"/>
    <w:rsid w:val="004F79DE"/>
    <w:rsid w:val="00502D9F"/>
    <w:rsid w:val="0051404F"/>
    <w:rsid w:val="00517E81"/>
    <w:rsid w:val="0052129B"/>
    <w:rsid w:val="00532AA3"/>
    <w:rsid w:val="005639FE"/>
    <w:rsid w:val="00572110"/>
    <w:rsid w:val="0059256F"/>
    <w:rsid w:val="005953F5"/>
    <w:rsid w:val="00596B02"/>
    <w:rsid w:val="005A09A0"/>
    <w:rsid w:val="005A1D1B"/>
    <w:rsid w:val="005A3C8F"/>
    <w:rsid w:val="005C4776"/>
    <w:rsid w:val="005C6A05"/>
    <w:rsid w:val="005D36F6"/>
    <w:rsid w:val="005D6F89"/>
    <w:rsid w:val="005F43AC"/>
    <w:rsid w:val="005F7ACC"/>
    <w:rsid w:val="00613DBC"/>
    <w:rsid w:val="00614E47"/>
    <w:rsid w:val="00621020"/>
    <w:rsid w:val="00627396"/>
    <w:rsid w:val="006438C5"/>
    <w:rsid w:val="006472A5"/>
    <w:rsid w:val="00663B3D"/>
    <w:rsid w:val="00667390"/>
    <w:rsid w:val="0067296C"/>
    <w:rsid w:val="00675EFD"/>
    <w:rsid w:val="00685506"/>
    <w:rsid w:val="00693A26"/>
    <w:rsid w:val="006A6ADD"/>
    <w:rsid w:val="006B41C9"/>
    <w:rsid w:val="006C14D9"/>
    <w:rsid w:val="006C5200"/>
    <w:rsid w:val="006E2725"/>
    <w:rsid w:val="006E6AC8"/>
    <w:rsid w:val="006F08CF"/>
    <w:rsid w:val="007104D0"/>
    <w:rsid w:val="00722F74"/>
    <w:rsid w:val="00740B4F"/>
    <w:rsid w:val="00742A6B"/>
    <w:rsid w:val="00743E6B"/>
    <w:rsid w:val="007531A1"/>
    <w:rsid w:val="007537A2"/>
    <w:rsid w:val="0075676F"/>
    <w:rsid w:val="00756F85"/>
    <w:rsid w:val="00761AF0"/>
    <w:rsid w:val="00791EEB"/>
    <w:rsid w:val="0079608F"/>
    <w:rsid w:val="007B1ADA"/>
    <w:rsid w:val="007B1FBF"/>
    <w:rsid w:val="007C035C"/>
    <w:rsid w:val="007C6D1D"/>
    <w:rsid w:val="007D158C"/>
    <w:rsid w:val="007D4B68"/>
    <w:rsid w:val="007E08A4"/>
    <w:rsid w:val="007E08C0"/>
    <w:rsid w:val="008037B6"/>
    <w:rsid w:val="00805A8C"/>
    <w:rsid w:val="0081353A"/>
    <w:rsid w:val="00824D58"/>
    <w:rsid w:val="00825174"/>
    <w:rsid w:val="00844319"/>
    <w:rsid w:val="008461EA"/>
    <w:rsid w:val="00850B95"/>
    <w:rsid w:val="00854D57"/>
    <w:rsid w:val="00855412"/>
    <w:rsid w:val="008561D0"/>
    <w:rsid w:val="008601FC"/>
    <w:rsid w:val="00862042"/>
    <w:rsid w:val="008636D6"/>
    <w:rsid w:val="00865CE9"/>
    <w:rsid w:val="00886536"/>
    <w:rsid w:val="00890B27"/>
    <w:rsid w:val="00892A93"/>
    <w:rsid w:val="008A1B73"/>
    <w:rsid w:val="008B6F1C"/>
    <w:rsid w:val="008C19E1"/>
    <w:rsid w:val="008D2388"/>
    <w:rsid w:val="008D45A8"/>
    <w:rsid w:val="008D76D3"/>
    <w:rsid w:val="008E5457"/>
    <w:rsid w:val="008F374D"/>
    <w:rsid w:val="00911848"/>
    <w:rsid w:val="009145C5"/>
    <w:rsid w:val="00930FF1"/>
    <w:rsid w:val="00934161"/>
    <w:rsid w:val="00971242"/>
    <w:rsid w:val="00990473"/>
    <w:rsid w:val="00994265"/>
    <w:rsid w:val="00996EA3"/>
    <w:rsid w:val="009C0D01"/>
    <w:rsid w:val="009E11F4"/>
    <w:rsid w:val="009E7AF0"/>
    <w:rsid w:val="009F2C0D"/>
    <w:rsid w:val="009F3FF6"/>
    <w:rsid w:val="009F53B2"/>
    <w:rsid w:val="00A37397"/>
    <w:rsid w:val="00A423EF"/>
    <w:rsid w:val="00A44CA4"/>
    <w:rsid w:val="00A4558D"/>
    <w:rsid w:val="00A53A11"/>
    <w:rsid w:val="00A57A55"/>
    <w:rsid w:val="00A63420"/>
    <w:rsid w:val="00A66A75"/>
    <w:rsid w:val="00A94424"/>
    <w:rsid w:val="00AA20C6"/>
    <w:rsid w:val="00AA6864"/>
    <w:rsid w:val="00AC180C"/>
    <w:rsid w:val="00AC3BDB"/>
    <w:rsid w:val="00AC5925"/>
    <w:rsid w:val="00AC5FEA"/>
    <w:rsid w:val="00AD606C"/>
    <w:rsid w:val="00AE0518"/>
    <w:rsid w:val="00AE08AA"/>
    <w:rsid w:val="00B0679F"/>
    <w:rsid w:val="00B0782B"/>
    <w:rsid w:val="00B16AA1"/>
    <w:rsid w:val="00B27974"/>
    <w:rsid w:val="00B34E94"/>
    <w:rsid w:val="00B501E3"/>
    <w:rsid w:val="00B66084"/>
    <w:rsid w:val="00B72639"/>
    <w:rsid w:val="00B72D29"/>
    <w:rsid w:val="00B75179"/>
    <w:rsid w:val="00B77456"/>
    <w:rsid w:val="00B92353"/>
    <w:rsid w:val="00B959AC"/>
    <w:rsid w:val="00B96615"/>
    <w:rsid w:val="00BA4A49"/>
    <w:rsid w:val="00BC3E4F"/>
    <w:rsid w:val="00BC5004"/>
    <w:rsid w:val="00BC7FBE"/>
    <w:rsid w:val="00BD03C7"/>
    <w:rsid w:val="00BE2BD6"/>
    <w:rsid w:val="00BE48D9"/>
    <w:rsid w:val="00BF188D"/>
    <w:rsid w:val="00C064F6"/>
    <w:rsid w:val="00C113D9"/>
    <w:rsid w:val="00C20F92"/>
    <w:rsid w:val="00C24004"/>
    <w:rsid w:val="00C301C4"/>
    <w:rsid w:val="00C351B2"/>
    <w:rsid w:val="00C362F2"/>
    <w:rsid w:val="00C44E23"/>
    <w:rsid w:val="00C474B2"/>
    <w:rsid w:val="00C47558"/>
    <w:rsid w:val="00C55B83"/>
    <w:rsid w:val="00C60BA4"/>
    <w:rsid w:val="00C65C80"/>
    <w:rsid w:val="00C6614A"/>
    <w:rsid w:val="00C708D7"/>
    <w:rsid w:val="00C73D93"/>
    <w:rsid w:val="00C74162"/>
    <w:rsid w:val="00CA113C"/>
    <w:rsid w:val="00CB50C4"/>
    <w:rsid w:val="00CC3BFF"/>
    <w:rsid w:val="00CC54CB"/>
    <w:rsid w:val="00CC6AD9"/>
    <w:rsid w:val="00CE2FBF"/>
    <w:rsid w:val="00CE5409"/>
    <w:rsid w:val="00CF2798"/>
    <w:rsid w:val="00CF5B0D"/>
    <w:rsid w:val="00D068B3"/>
    <w:rsid w:val="00D1165D"/>
    <w:rsid w:val="00D2134C"/>
    <w:rsid w:val="00D23B55"/>
    <w:rsid w:val="00D25DCF"/>
    <w:rsid w:val="00D4233A"/>
    <w:rsid w:val="00D42604"/>
    <w:rsid w:val="00D43181"/>
    <w:rsid w:val="00D43C3F"/>
    <w:rsid w:val="00D57F62"/>
    <w:rsid w:val="00D63074"/>
    <w:rsid w:val="00D72A7E"/>
    <w:rsid w:val="00D741BC"/>
    <w:rsid w:val="00D74611"/>
    <w:rsid w:val="00D771BB"/>
    <w:rsid w:val="00D93B82"/>
    <w:rsid w:val="00DA6FA8"/>
    <w:rsid w:val="00DD064B"/>
    <w:rsid w:val="00DD4946"/>
    <w:rsid w:val="00DE11A1"/>
    <w:rsid w:val="00DE2260"/>
    <w:rsid w:val="00DE5FFC"/>
    <w:rsid w:val="00DF3547"/>
    <w:rsid w:val="00E05E89"/>
    <w:rsid w:val="00E25BED"/>
    <w:rsid w:val="00E331FC"/>
    <w:rsid w:val="00E34955"/>
    <w:rsid w:val="00E431C9"/>
    <w:rsid w:val="00E43337"/>
    <w:rsid w:val="00E60E82"/>
    <w:rsid w:val="00E632DE"/>
    <w:rsid w:val="00E668DC"/>
    <w:rsid w:val="00E67DC3"/>
    <w:rsid w:val="00E9521C"/>
    <w:rsid w:val="00E95E0A"/>
    <w:rsid w:val="00EB4057"/>
    <w:rsid w:val="00EB488E"/>
    <w:rsid w:val="00EC1597"/>
    <w:rsid w:val="00EC5DA0"/>
    <w:rsid w:val="00EF2B42"/>
    <w:rsid w:val="00EF7968"/>
    <w:rsid w:val="00F03255"/>
    <w:rsid w:val="00F379E8"/>
    <w:rsid w:val="00F4326B"/>
    <w:rsid w:val="00F53888"/>
    <w:rsid w:val="00F53BF9"/>
    <w:rsid w:val="00F616EE"/>
    <w:rsid w:val="00F6366E"/>
    <w:rsid w:val="00F6737B"/>
    <w:rsid w:val="00F737FB"/>
    <w:rsid w:val="00F77ACC"/>
    <w:rsid w:val="00F86AB6"/>
    <w:rsid w:val="00FA52B0"/>
    <w:rsid w:val="00FA5841"/>
    <w:rsid w:val="00FA707A"/>
    <w:rsid w:val="00FB2A66"/>
    <w:rsid w:val="00FB4A81"/>
    <w:rsid w:val="00FE7576"/>
    <w:rsid w:val="00FF09B1"/>
    <w:rsid w:val="00FF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docId w15:val="{77E92D4E-A74F-443E-8308-6CDA337B9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611"/>
    <w:pPr>
      <w:spacing w:after="200" w:line="276" w:lineRule="auto"/>
    </w:pPr>
    <w:rPr>
      <w:lang w:eastAsia="en-US"/>
    </w:rPr>
  </w:style>
  <w:style w:type="paragraph" w:styleId="Titre1">
    <w:name w:val="heading 1"/>
    <w:basedOn w:val="Normal"/>
    <w:link w:val="Titre1Car"/>
    <w:uiPriority w:val="99"/>
    <w:qFormat/>
    <w:rsid w:val="004E45F7"/>
    <w:pPr>
      <w:spacing w:before="100" w:beforeAutospacing="1" w:after="100" w:afterAutospacing="1" w:line="240" w:lineRule="auto"/>
      <w:outlineLvl w:val="0"/>
    </w:pPr>
    <w:rPr>
      <w:rFonts w:ascii="Arial" w:eastAsia="Times New Roman" w:hAnsi="Arial"/>
      <w:b/>
      <w:bCs/>
      <w:kern w:val="36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9"/>
    <w:qFormat/>
    <w:rsid w:val="00CA113C"/>
    <w:pPr>
      <w:keepNext/>
      <w:keepLines/>
      <w:spacing w:before="200" w:after="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9"/>
    <w:qFormat/>
    <w:rsid w:val="006472A5"/>
    <w:pPr>
      <w:keepNext/>
      <w:keepLines/>
      <w:spacing w:before="200" w:after="0"/>
      <w:outlineLvl w:val="4"/>
    </w:pPr>
    <w:rPr>
      <w:rFonts w:ascii="Cambria" w:eastAsia="SimSun" w:hAnsi="Cambria" w:cs="Times New Roman"/>
      <w:color w:val="243F6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4E45F7"/>
    <w:rPr>
      <w:rFonts w:ascii="Arial" w:hAnsi="Arial" w:cs="Arial"/>
      <w:b/>
      <w:bCs/>
      <w:kern w:val="36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9"/>
    <w:locked/>
    <w:rsid w:val="00CA113C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9"/>
    <w:locked/>
    <w:rsid w:val="006472A5"/>
    <w:rPr>
      <w:rFonts w:ascii="Cambria" w:eastAsia="SimSun" w:hAnsi="Cambria" w:cs="Times New Roman"/>
      <w:color w:val="243F60"/>
    </w:rPr>
  </w:style>
  <w:style w:type="paragraph" w:styleId="Paragraphedeliste">
    <w:name w:val="List Paragraph"/>
    <w:basedOn w:val="Normal"/>
    <w:uiPriority w:val="99"/>
    <w:qFormat/>
    <w:rsid w:val="005D6F89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rsid w:val="000421F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locked/>
    <w:rsid w:val="000421F7"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rsid w:val="000421F7"/>
    <w:rPr>
      <w:rFonts w:cs="Times New Roman"/>
      <w:vertAlign w:val="superscript"/>
    </w:rPr>
  </w:style>
  <w:style w:type="character" w:styleId="Lienhypertexte">
    <w:name w:val="Hyperlink"/>
    <w:basedOn w:val="Policepardfaut"/>
    <w:uiPriority w:val="99"/>
    <w:rsid w:val="0035231C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rsid w:val="00740B4F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4E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99"/>
    <w:rsid w:val="001232FE"/>
    <w:rPr>
      <w:rFonts w:eastAsia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basedOn w:val="Policepardfaut"/>
    <w:uiPriority w:val="99"/>
    <w:semiHidden/>
    <w:rsid w:val="00892A93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rsid w:val="00892A93"/>
    <w:rPr>
      <w:rFonts w:eastAsia="Times New Roman" w:cs="Times New Roman"/>
      <w:sz w:val="20"/>
      <w:szCs w:val="20"/>
      <w:lang w:val="en-CA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892A93"/>
    <w:rPr>
      <w:rFonts w:ascii="Calibri" w:hAnsi="Calibri" w:cs="Times New Roman"/>
      <w:sz w:val="20"/>
      <w:szCs w:val="20"/>
      <w:lang w:val="en-CA"/>
    </w:rPr>
  </w:style>
  <w:style w:type="paragraph" w:styleId="Textedebulles">
    <w:name w:val="Balloon Text"/>
    <w:basedOn w:val="Normal"/>
    <w:link w:val="TextedebullesCar"/>
    <w:uiPriority w:val="99"/>
    <w:semiHidden/>
    <w:rsid w:val="00675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675EF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rsid w:val="007531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7531A1"/>
    <w:rPr>
      <w:rFonts w:cs="Times New Roman"/>
    </w:rPr>
  </w:style>
  <w:style w:type="paragraph" w:styleId="Pieddepage">
    <w:name w:val="footer"/>
    <w:basedOn w:val="Normal"/>
    <w:link w:val="PieddepageCar"/>
    <w:uiPriority w:val="99"/>
    <w:semiHidden/>
    <w:rsid w:val="007531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7531A1"/>
    <w:rPr>
      <w:rFonts w:cs="Times New Roman"/>
    </w:rPr>
  </w:style>
  <w:style w:type="character" w:styleId="CitationHTML">
    <w:name w:val="HTML Cite"/>
    <w:basedOn w:val="Policepardfaut"/>
    <w:uiPriority w:val="99"/>
    <w:semiHidden/>
    <w:rsid w:val="007531A1"/>
    <w:rPr>
      <w:rFonts w:cs="Times New Roman"/>
      <w:color w:val="228822"/>
    </w:rPr>
  </w:style>
  <w:style w:type="table" w:customStyle="1" w:styleId="MediumShading1-Accent11">
    <w:name w:val="Medium Shading 1 - Accent 11"/>
    <w:uiPriority w:val="99"/>
    <w:rsid w:val="00A53A11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centuation">
    <w:name w:val="Emphasis"/>
    <w:basedOn w:val="Policepardfaut"/>
    <w:uiPriority w:val="99"/>
    <w:qFormat/>
    <w:rsid w:val="00AA6864"/>
    <w:rPr>
      <w:rFonts w:cs="Times New Roman"/>
      <w:b/>
      <w:bCs/>
    </w:rPr>
  </w:style>
  <w:style w:type="paragraph" w:customStyle="1" w:styleId="Default">
    <w:name w:val="Default"/>
    <w:uiPriority w:val="99"/>
    <w:rsid w:val="009C0D0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E08A4"/>
    <w:rPr>
      <w:rFonts w:eastAsia="Calibri" w:cs="Arial"/>
      <w:b/>
      <w:bCs/>
      <w:lang w:val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E08A4"/>
    <w:rPr>
      <w:rFonts w:ascii="Calibri" w:hAnsi="Calibri" w:cs="Times New Roman"/>
      <w:b/>
      <w:bCs/>
      <w:sz w:val="20"/>
      <w:szCs w:val="20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17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903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8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78999"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9001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02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19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39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75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86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95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97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7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900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4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6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7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8990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8993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8996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69">
          <w:marLeft w:val="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7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898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899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0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1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1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3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4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5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5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6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100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7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9020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31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48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58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7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9049">
          <w:marLeft w:val="36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54">
          <w:marLeft w:val="36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74">
          <w:marLeft w:val="36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99">
          <w:marLeft w:val="36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7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8994">
          <w:marLeft w:val="36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23">
          <w:marLeft w:val="36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40">
          <w:marLeft w:val="36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82">
          <w:marLeft w:val="36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83">
          <w:marLeft w:val="36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7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898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899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7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9006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17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22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57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063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7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78988">
          <w:marLeft w:val="3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7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818</Words>
  <Characters>4504</Characters>
  <Application>Microsoft Office Word</Application>
  <DocSecurity>0</DocSecurity>
  <Lines>37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5312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Marega Castellan</dc:creator>
  <cp:keywords/>
  <dc:description/>
  <cp:lastModifiedBy>SABINE FOURNIER</cp:lastModifiedBy>
  <cp:revision>4</cp:revision>
  <dcterms:created xsi:type="dcterms:W3CDTF">2015-09-29T15:27:00Z</dcterms:created>
  <dcterms:modified xsi:type="dcterms:W3CDTF">2015-09-30T10:11:00Z</dcterms:modified>
</cp:coreProperties>
</file>